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B300" w14:textId="68EDFF0B" w:rsidR="00110EB8" w:rsidRPr="00A120AD" w:rsidRDefault="00E972C4"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URB/20792</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creer un nouveau commerce et modifier la devanture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42</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Drita</w:t>
      </w:r>
      <w:r w:rsidR="000210C9">
        <w:rPr>
          <w:rFonts w:ascii="Arial" w:hAnsi="Arial" w:cs="Arial"/>
          <w:b/>
          <w:bCs/>
          <w:lang w:val="fr-BE" w:eastAsia="fr-BE"/>
        </w:rPr>
        <w:t xml:space="preserve"> </w:t>
      </w:r>
      <w:r w:rsidR="000210C9">
        <w:rPr>
          <w:rFonts w:ascii="Arial" w:hAnsi="Arial" w:cs="Arial"/>
          <w:b/>
          <w:bCs/>
          <w:noProof/>
          <w:lang w:val="fr-BE" w:eastAsia="fr-BE"/>
        </w:rPr>
        <w:t>PLLUMBAJ</w:t>
      </w:r>
      <w:r w:rsidR="00110EB8" w:rsidRPr="00A120AD">
        <w:rPr>
          <w:rFonts w:ascii="Arial" w:hAnsi="Arial" w:cs="Arial"/>
          <w:b/>
          <w:bCs/>
          <w:lang w:val="fr-BE" w:eastAsia="fr-BE"/>
        </w:rPr>
        <w:t xml:space="preserve"> </w:t>
      </w:r>
      <w:r w:rsidR="000210C9">
        <w:rPr>
          <w:rFonts w:ascii="Arial" w:hAnsi="Arial" w:cs="Arial"/>
          <w:b/>
          <w:bCs/>
          <w:noProof/>
          <w:lang w:val="fr-BE" w:eastAsia="fr-BE"/>
        </w:rPr>
        <w:t>DANCO</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42</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7E92B303" w14:textId="0E03C567" w:rsidR="00110EB8" w:rsidRPr="00E972C4" w:rsidRDefault="00110EB8" w:rsidP="00E972C4">
      <w:pPr>
        <w:autoSpaceDE w:val="0"/>
        <w:autoSpaceDN w:val="0"/>
        <w:adjustRightInd w:val="0"/>
        <w:spacing w:after="0" w:line="240" w:lineRule="auto"/>
        <w:rPr>
          <w:rFonts w:ascii="Arial" w:hAnsi="Arial" w:cs="Arial"/>
          <w:b/>
          <w:bCs/>
          <w:lang w:val="fr-BE" w:eastAsia="fr-BE"/>
        </w:rPr>
      </w:pPr>
    </w:p>
    <w:p w14:paraId="7E92B304" w14:textId="77777777" w:rsidR="00110EB8" w:rsidRPr="00E972C4" w:rsidRDefault="00110EB8" w:rsidP="00E972C4">
      <w:pPr>
        <w:autoSpaceDE w:val="0"/>
        <w:autoSpaceDN w:val="0"/>
        <w:adjustRightInd w:val="0"/>
        <w:spacing w:after="0" w:line="240" w:lineRule="auto"/>
        <w:rPr>
          <w:rFonts w:ascii="Arial" w:hAnsi="Arial" w:cs="Arial"/>
          <w:b/>
          <w:bCs/>
          <w:u w:val="single"/>
          <w:lang w:val="fr-BE" w:eastAsia="fr-BE"/>
        </w:rPr>
      </w:pPr>
      <w:r w:rsidRPr="00E972C4">
        <w:rPr>
          <w:rFonts w:ascii="Arial" w:hAnsi="Arial" w:cs="Arial"/>
          <w:b/>
          <w:bCs/>
          <w:u w:val="single"/>
          <w:lang w:val="fr-BE" w:eastAsia="fr-BE"/>
        </w:rPr>
        <w:t>AVIS</w:t>
      </w:r>
    </w:p>
    <w:p w14:paraId="7E92B306" w14:textId="41B8B338" w:rsidR="00110EB8" w:rsidRPr="00E972C4" w:rsidRDefault="00110EB8" w:rsidP="00E972C4">
      <w:pPr>
        <w:suppressAutoHyphens/>
        <w:spacing w:after="0" w:line="240" w:lineRule="auto"/>
        <w:rPr>
          <w:rFonts w:ascii="Arial" w:hAnsi="Arial" w:cs="Arial"/>
          <w:lang w:val="fr-BE"/>
        </w:rPr>
      </w:pPr>
    </w:p>
    <w:p w14:paraId="7E92B307"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 xml:space="preserve">Vu la demande de Madame </w:t>
      </w:r>
      <w:proofErr w:type="spellStart"/>
      <w:r w:rsidRPr="00E972C4">
        <w:rPr>
          <w:rFonts w:ascii="Arial" w:hAnsi="Arial" w:cs="Arial"/>
          <w:lang w:val="fr-BE"/>
        </w:rPr>
        <w:t>Drita</w:t>
      </w:r>
      <w:proofErr w:type="spellEnd"/>
      <w:r w:rsidRPr="00E972C4">
        <w:rPr>
          <w:rFonts w:ascii="Arial" w:hAnsi="Arial" w:cs="Arial"/>
          <w:lang w:val="fr-BE"/>
        </w:rPr>
        <w:t xml:space="preserve"> PLLUMBAJ DANCO ,  Chaussée de Louvain 42  à 1210 Saint-Josse-ten-Noode visant à </w:t>
      </w:r>
      <w:proofErr w:type="spellStart"/>
      <w:r w:rsidRPr="00E972C4">
        <w:rPr>
          <w:rFonts w:ascii="Arial" w:hAnsi="Arial" w:cs="Arial"/>
          <w:lang w:val="fr-BE"/>
        </w:rPr>
        <w:t>creer</w:t>
      </w:r>
      <w:proofErr w:type="spellEnd"/>
      <w:r w:rsidRPr="00E972C4">
        <w:rPr>
          <w:rFonts w:ascii="Arial" w:hAnsi="Arial" w:cs="Arial"/>
          <w:lang w:val="fr-BE"/>
        </w:rPr>
        <w:t xml:space="preserve"> un nouveau commerce et modifier la devanture, situé   Chaussée de Louvain 42   ;</w:t>
      </w:r>
    </w:p>
    <w:p w14:paraId="7E92B308"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le bien concerné se trouve en espaces structurants, liserés de noyau commercial, zones de fortes mixités au PRAS ;</w:t>
      </w:r>
    </w:p>
    <w:p w14:paraId="7E92B309"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Vu l’avis favorable du Service d’incendie et d’aide médicale urgente (SIAMU) du 31/05/2023 portant les références T.1982.0227/15, figurant dans le dossier de demande de permis ;</w:t>
      </w:r>
    </w:p>
    <w:p w14:paraId="7E92B30A"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la demande tombe sous l’application de l'art. 237 du COBAT (zone de protection d'un bien classé (actes et travaux modifiant les perspectives sur ce bien classé ou à partir de celui-ci)) ;</w:t>
      </w:r>
    </w:p>
    <w:p w14:paraId="7E92B30B" w14:textId="58B49FB8"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la demande a été soumise à l’avis d’ administrat</w:t>
      </w:r>
      <w:r>
        <w:rPr>
          <w:rFonts w:ascii="Arial" w:hAnsi="Arial" w:cs="Arial"/>
          <w:lang w:val="fr-BE"/>
        </w:rPr>
        <w:t>ion ou instance suivante : CRMS</w:t>
      </w:r>
      <w:r w:rsidRPr="00E972C4">
        <w:rPr>
          <w:rFonts w:ascii="Arial" w:hAnsi="Arial" w:cs="Arial"/>
          <w:lang w:val="fr-BE"/>
        </w:rPr>
        <w:t>;</w:t>
      </w:r>
    </w:p>
    <w:p w14:paraId="7E92B30C"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celle-ci n’a pas remis d’avis dans les délais ;</w:t>
      </w:r>
    </w:p>
    <w:p w14:paraId="7E92B30D"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l’immeuble est légalement utilisé dans son entièreté en « club » ;</w:t>
      </w:r>
    </w:p>
    <w:p w14:paraId="7E92B30E"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cette activité n’a pas de vitrine sur la rue et que l’arrière du sas donnant sur la chaussée de Louvain est opaque, sans interaction avec le liseré de noyau commercial ;</w:t>
      </w:r>
    </w:p>
    <w:p w14:paraId="7E92B30F"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l’entrée actuelle du club n’est pas visible depuis la rue et située latéralement au fond du sas ;</w:t>
      </w:r>
    </w:p>
    <w:p w14:paraId="7E92B310"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la présente demande vise à transformer le sas en nouvel espace commercial (centre esthétique) en lui attribuant également un local au rez-de-chaussée ;</w:t>
      </w:r>
    </w:p>
    <w:p w14:paraId="7E92B311"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qu’actuellement ce sas est peu sécurisant et qualitatif d’un point de vue urbanistique ;</w:t>
      </w:r>
    </w:p>
    <w:p w14:paraId="7E92B312"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le placement d’une vitrine à rue permettra de créer une porte à front de rue pour le club, une nouvelle porte pour une sortie de secours ainsi qu’une vitrine pour la nouvelle activité commerciale permettant d’animer le liseré de noyau commercial ;</w:t>
      </w:r>
    </w:p>
    <w:p w14:paraId="7E92B313"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 xml:space="preserve">Considérant  que le bien se situe dans l’environnement immédiat de 2 bâtiments classés (le </w:t>
      </w:r>
      <w:proofErr w:type="spellStart"/>
      <w:r w:rsidRPr="00E972C4">
        <w:rPr>
          <w:rFonts w:ascii="Arial" w:hAnsi="Arial" w:cs="Arial"/>
          <w:lang w:val="fr-BE"/>
        </w:rPr>
        <w:t>Mirano</w:t>
      </w:r>
      <w:proofErr w:type="spellEnd"/>
      <w:r w:rsidRPr="00E972C4">
        <w:rPr>
          <w:rFonts w:ascii="Arial" w:hAnsi="Arial" w:cs="Arial"/>
          <w:lang w:val="fr-BE"/>
        </w:rPr>
        <w:t xml:space="preserve"> au 38 et le Marignan au 33) ;</w:t>
      </w:r>
    </w:p>
    <w:p w14:paraId="7E92B314"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 il convient de soigner les finitions  de la vitrine ;</w:t>
      </w:r>
    </w:p>
    <w:p w14:paraId="7E92B315"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la faible qualité architecturale actuelle du bandeau au-dessus de la porte ;</w:t>
      </w:r>
    </w:p>
    <w:p w14:paraId="7E92B316"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 xml:space="preserve">Considérant qu’il est prévu un bandeau en zinc sans précision de la couleur ; </w:t>
      </w:r>
    </w:p>
    <w:p w14:paraId="7E92B317"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qu’il conviendrait plutôt de privilégier un bandeau en maçonnerie dans une teinte s’accordant à la façade existante ;</w:t>
      </w:r>
    </w:p>
    <w:p w14:paraId="7E92B318"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les plans historiques du bien indique toujours ce bandeau très large en plaquettes de bois ;</w:t>
      </w:r>
    </w:p>
    <w:p w14:paraId="7E92B319"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même si l’enseigne future (non demandée dans la présente demande) serait conforme au RRU, il convient de choisir une enseigne sobre ;</w:t>
      </w:r>
    </w:p>
    <w:p w14:paraId="7E92B31A"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qu’il convient de supprimer l’air conditionné placé en façade avant ;</w:t>
      </w:r>
    </w:p>
    <w:p w14:paraId="7E92B31B"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que d’après les plans déposés, la façade sera repeinte en blanc ;</w:t>
      </w:r>
    </w:p>
    <w:p w14:paraId="7E92B31C" w14:textId="77777777" w:rsidR="000A4F6D" w:rsidRPr="00E972C4" w:rsidRDefault="00E972C4" w:rsidP="00E972C4">
      <w:pPr>
        <w:spacing w:after="0" w:line="240" w:lineRule="auto"/>
        <w:rPr>
          <w:rFonts w:ascii="Arial" w:hAnsi="Arial" w:cs="Arial"/>
          <w:lang w:val="fr-BE"/>
        </w:rPr>
      </w:pPr>
      <w:r w:rsidRPr="00E972C4">
        <w:rPr>
          <w:rFonts w:ascii="Arial" w:hAnsi="Arial" w:cs="Arial"/>
          <w:lang w:val="fr-BE"/>
        </w:rPr>
        <w:t>Considérant qu’actuellement la couleur de la façade n’est pas conforme à la palette de couleur annexée au règlement communal d’urbanisme ;</w:t>
      </w:r>
    </w:p>
    <w:p w14:paraId="7E92B31F" w14:textId="4744E838" w:rsidR="00110EB8" w:rsidRPr="00E972C4" w:rsidRDefault="00E972C4" w:rsidP="00E972C4">
      <w:pPr>
        <w:spacing w:after="0" w:line="240" w:lineRule="auto"/>
        <w:rPr>
          <w:rFonts w:ascii="Arial" w:hAnsi="Arial" w:cs="Arial"/>
          <w:lang w:val="fr-BE"/>
        </w:rPr>
      </w:pPr>
      <w:r w:rsidRPr="00E972C4">
        <w:rPr>
          <w:rFonts w:ascii="Arial" w:hAnsi="Arial" w:cs="Arial"/>
          <w:lang w:val="fr-BE"/>
        </w:rPr>
        <w:t xml:space="preserve"> </w:t>
      </w:r>
    </w:p>
    <w:p w14:paraId="7E92B320" w14:textId="77777777" w:rsidR="00110EB8" w:rsidRPr="00E972C4" w:rsidRDefault="00110EB8" w:rsidP="00E972C4">
      <w:pPr>
        <w:suppressAutoHyphens/>
        <w:spacing w:after="0" w:line="240" w:lineRule="auto"/>
        <w:outlineLvl w:val="0"/>
        <w:rPr>
          <w:rFonts w:ascii="Arial" w:hAnsi="Arial" w:cs="Arial"/>
          <w:b/>
          <w:lang w:val="fr-BE"/>
        </w:rPr>
      </w:pPr>
      <w:r w:rsidRPr="00E972C4">
        <w:rPr>
          <w:rFonts w:ascii="Arial" w:hAnsi="Arial" w:cs="Arial"/>
          <w:b/>
          <w:lang w:val="fr-BE"/>
        </w:rPr>
        <w:t xml:space="preserve">AVIS </w:t>
      </w:r>
      <w:r w:rsidR="000210C9" w:rsidRPr="00E972C4">
        <w:rPr>
          <w:rFonts w:ascii="Arial" w:hAnsi="Arial" w:cs="Arial"/>
          <w:b/>
          <w:noProof/>
          <w:lang w:val="fr-BE"/>
        </w:rPr>
        <w:t>Favorable sous conditions (unanime)</w:t>
      </w:r>
    </w:p>
    <w:p w14:paraId="7E92B321" w14:textId="77777777" w:rsidR="00110EB8" w:rsidRPr="00E972C4" w:rsidRDefault="00110EB8" w:rsidP="00E972C4">
      <w:pPr>
        <w:suppressAutoHyphens/>
        <w:spacing w:after="0" w:line="240" w:lineRule="auto"/>
        <w:jc w:val="both"/>
        <w:rPr>
          <w:rFonts w:ascii="Arial" w:hAnsi="Arial" w:cs="Arial"/>
          <w:lang w:val="fr-BE"/>
        </w:rPr>
      </w:pPr>
    </w:p>
    <w:p w14:paraId="465151B5" w14:textId="77777777" w:rsidR="00E972C4" w:rsidRDefault="000210C9" w:rsidP="00E972C4">
      <w:pPr>
        <w:numPr>
          <w:ilvl w:val="0"/>
          <w:numId w:val="2"/>
        </w:numPr>
        <w:suppressAutoHyphens/>
        <w:spacing w:after="0" w:line="240" w:lineRule="auto"/>
        <w:ind w:left="426"/>
        <w:rPr>
          <w:rFonts w:ascii="Arial" w:hAnsi="Arial" w:cs="Arial"/>
          <w:lang w:val="fr-BE"/>
        </w:rPr>
      </w:pPr>
      <w:r w:rsidRPr="00E972C4">
        <w:rPr>
          <w:rFonts w:ascii="Arial" w:hAnsi="Arial" w:cs="Arial"/>
          <w:noProof/>
          <w:lang w:val="fr-BE"/>
        </w:rPr>
        <w:t>Prévoir le bandeau du rez-de-chaussée en enduit dans un ton coordonné avec la façade</w:t>
      </w:r>
    </w:p>
    <w:p w14:paraId="1EBA8FBA" w14:textId="77777777" w:rsidR="00E972C4" w:rsidRDefault="000210C9" w:rsidP="00E972C4">
      <w:pPr>
        <w:numPr>
          <w:ilvl w:val="0"/>
          <w:numId w:val="2"/>
        </w:numPr>
        <w:suppressAutoHyphens/>
        <w:spacing w:after="0" w:line="240" w:lineRule="auto"/>
        <w:ind w:left="426"/>
        <w:rPr>
          <w:rFonts w:ascii="Arial" w:hAnsi="Arial" w:cs="Arial"/>
          <w:lang w:val="fr-BE"/>
        </w:rPr>
      </w:pPr>
      <w:r w:rsidRPr="00E972C4">
        <w:rPr>
          <w:rFonts w:ascii="Arial" w:hAnsi="Arial" w:cs="Arial"/>
          <w:lang w:val="fr-BE"/>
        </w:rPr>
        <w:t>Prévoir un enduit de façade clair  conforme au RCU</w:t>
      </w:r>
    </w:p>
    <w:p w14:paraId="586A9589" w14:textId="77777777" w:rsidR="00E972C4" w:rsidRDefault="000210C9" w:rsidP="00E972C4">
      <w:pPr>
        <w:numPr>
          <w:ilvl w:val="0"/>
          <w:numId w:val="2"/>
        </w:numPr>
        <w:suppressAutoHyphens/>
        <w:spacing w:after="0" w:line="240" w:lineRule="auto"/>
        <w:ind w:left="426"/>
        <w:rPr>
          <w:rFonts w:ascii="Arial" w:hAnsi="Arial" w:cs="Arial"/>
          <w:lang w:val="fr-BE"/>
        </w:rPr>
      </w:pPr>
      <w:r w:rsidRPr="00E972C4">
        <w:rPr>
          <w:rFonts w:ascii="Arial" w:hAnsi="Arial" w:cs="Arial"/>
          <w:lang w:val="fr-BE"/>
        </w:rPr>
        <w:t>Démonter l’installation d’air conditionné en façade avant</w:t>
      </w:r>
    </w:p>
    <w:p w14:paraId="7E92B322" w14:textId="6F8EF005" w:rsidR="00110EB8" w:rsidRPr="00E972C4" w:rsidRDefault="000210C9" w:rsidP="00E972C4">
      <w:pPr>
        <w:numPr>
          <w:ilvl w:val="0"/>
          <w:numId w:val="2"/>
        </w:numPr>
        <w:suppressAutoHyphens/>
        <w:spacing w:after="0" w:line="240" w:lineRule="auto"/>
        <w:ind w:left="426"/>
        <w:rPr>
          <w:rFonts w:ascii="Arial" w:hAnsi="Arial" w:cs="Arial"/>
          <w:lang w:val="fr-BE"/>
        </w:rPr>
      </w:pPr>
      <w:r w:rsidRPr="00E972C4">
        <w:rPr>
          <w:rFonts w:ascii="Arial" w:hAnsi="Arial" w:cs="Arial"/>
          <w:lang w:val="fr-BE"/>
        </w:rPr>
        <w:t xml:space="preserve">Préciser le matériau du châssis de la vitrine et prévoir 2 portes en bois plutôt que vitrées. </w:t>
      </w:r>
    </w:p>
    <w:p w14:paraId="7E92B323" w14:textId="77777777" w:rsidR="00110EB8" w:rsidRPr="00E972C4" w:rsidRDefault="00110EB8" w:rsidP="00E972C4">
      <w:pPr>
        <w:suppressAutoHyphens/>
        <w:spacing w:after="0" w:line="240" w:lineRule="auto"/>
        <w:jc w:val="both"/>
        <w:rPr>
          <w:rFonts w:ascii="Arial" w:hAnsi="Arial" w:cs="Arial"/>
          <w:lang w:val="fr-BE"/>
        </w:rPr>
      </w:pPr>
    </w:p>
    <w:p w14:paraId="7E92B325" w14:textId="599AD5F1" w:rsidR="00110EB8" w:rsidRPr="00A120AD" w:rsidRDefault="00110EB8" w:rsidP="00E972C4">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B328" w14:textId="77777777" w:rsidR="00FC51AD" w:rsidRDefault="00FC51AD" w:rsidP="00CD4528">
      <w:pPr>
        <w:spacing w:after="0" w:line="240" w:lineRule="auto"/>
      </w:pPr>
      <w:r>
        <w:separator/>
      </w:r>
    </w:p>
  </w:endnote>
  <w:endnote w:type="continuationSeparator" w:id="0">
    <w:p w14:paraId="7E92B32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B326" w14:textId="77777777" w:rsidR="00FC51AD" w:rsidRDefault="00FC51AD" w:rsidP="00CD4528">
      <w:pPr>
        <w:spacing w:after="0" w:line="240" w:lineRule="auto"/>
      </w:pPr>
      <w:r>
        <w:separator/>
      </w:r>
    </w:p>
  </w:footnote>
  <w:footnote w:type="continuationSeparator" w:id="0">
    <w:p w14:paraId="7E92B32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32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A4F6D"/>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66505"/>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972C4"/>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B30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2023-06-29T07:40:00Z</cp:lastPrinted>
  <dcterms:created xsi:type="dcterms:W3CDTF">2023-06-29T07:41:00Z</dcterms:created>
  <dcterms:modified xsi:type="dcterms:W3CDTF">2023-06-29T07:41:00Z</dcterms:modified>
</cp:coreProperties>
</file>