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8517F" w14:textId="7954371A" w:rsidR="00110EB8" w:rsidRPr="00A120AD" w:rsidRDefault="000210C9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URB/20736/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>
        <w:rPr>
          <w:rFonts w:ascii="Arial" w:hAnsi="Arial" w:cs="Arial"/>
          <w:b/>
          <w:bCs/>
          <w:noProof/>
          <w:lang w:val="fr-BE" w:eastAsia="fr-BE"/>
        </w:rPr>
        <w:t>Rénover et transformer un hôtel de maître en 10 logements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>
        <w:rPr>
          <w:rFonts w:ascii="Arial" w:hAnsi="Arial" w:cs="Arial"/>
          <w:b/>
          <w:bCs/>
          <w:noProof/>
          <w:lang w:val="fr-BE" w:eastAsia="fr-BE"/>
        </w:rPr>
        <w:t>Renoveren en veranderen een herenhuis in 10 huisvestigen.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>
        <w:rPr>
          <w:rFonts w:ascii="Arial" w:hAnsi="Arial" w:cs="Arial"/>
          <w:b/>
          <w:bCs/>
          <w:noProof/>
          <w:lang w:val="fr-BE" w:eastAsia="fr-BE"/>
        </w:rPr>
        <w:t>Rue du Méridien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29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 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AM EXPERT REAL ESTATE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Rue De Keersmaeker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27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1090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Jette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12D85180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12D85181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12D85182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12D85183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12D85184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12D85185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2D85186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 </w:t>
      </w:r>
    </w:p>
    <w:p w14:paraId="12D85187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Vu la demande de AM EXPERT REAL ESTATE , Rue De Keersmaeker 27 à 1090 Jette visant à Rénover et transformer un hôtel de maître en 10 logements, situé Rue du Méridien 29  ;</w:t>
      </w:r>
    </w:p>
    <w:p w14:paraId="12D85188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le bien concerné se trouve en zones d'habitation au plan régional d’affectation du sol arrêté par arrêté du gouvernement du 3 mai 2001 ;</w:t>
      </w:r>
    </w:p>
    <w:p w14:paraId="12D85189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la demande tombe sous l’application de l'art. 207 §1.al4 du COBAT (bien à l'inventaire)</w:t>
      </w:r>
      <w:r w:rsidRPr="00FF61E4">
        <w:rPr>
          <w:lang w:val="fr-BE"/>
        </w:rPr>
        <w:t xml:space="preserve"> ; </w:t>
      </w:r>
    </w:p>
    <w:p w14:paraId="12D8518A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Considérant que la demande déroge : </w:t>
      </w:r>
    </w:p>
    <w:p w14:paraId="12D8518B" w14:textId="77777777" w:rsidR="009C36AD" w:rsidRPr="00FF61E4" w:rsidRDefault="00F85A8E">
      <w:pPr>
        <w:numPr>
          <w:ilvl w:val="0"/>
          <w:numId w:val="3"/>
        </w:numPr>
        <w:rPr>
          <w:lang w:val="fr-BE"/>
        </w:rPr>
      </w:pPr>
      <w:r w:rsidRPr="00FF61E4">
        <w:rPr>
          <w:lang w:val="fr-BE"/>
        </w:rPr>
        <w:t xml:space="preserve">à l'art.6 du titre I du RRU (toiture - lucarnes) </w:t>
      </w:r>
    </w:p>
    <w:p w14:paraId="12D8518C" w14:textId="77777777" w:rsidR="009C36AD" w:rsidRPr="00FF61E4" w:rsidRDefault="00F85A8E">
      <w:pPr>
        <w:numPr>
          <w:ilvl w:val="0"/>
          <w:numId w:val="3"/>
        </w:numPr>
        <w:rPr>
          <w:lang w:val="fr-BE"/>
        </w:rPr>
      </w:pPr>
      <w:r w:rsidRPr="00FF61E4">
        <w:rPr>
          <w:lang w:val="fr-BE"/>
        </w:rPr>
        <w:t xml:space="preserve">à l’art. 10 du </w:t>
      </w:r>
      <w:proofErr w:type="spellStart"/>
      <w:r w:rsidRPr="00FF61E4">
        <w:rPr>
          <w:lang w:val="fr-BE"/>
        </w:rPr>
        <w:t>tire</w:t>
      </w:r>
      <w:proofErr w:type="spellEnd"/>
      <w:r w:rsidRPr="00FF61E4">
        <w:rPr>
          <w:lang w:val="fr-BE"/>
        </w:rPr>
        <w:t xml:space="preserve"> II éclairement naturel Art. 6 Toiture (lucarnes)  ;</w:t>
      </w:r>
    </w:p>
    <w:p w14:paraId="12D8518D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la demande a été soumise aux mesures particulières de publicité ; que l’enquê</w:t>
      </w:r>
      <w:r w:rsidRPr="00FF61E4">
        <w:rPr>
          <w:lang w:val="fr-BE"/>
        </w:rPr>
        <w:t xml:space="preserve">te publique s’est déroulée du 19/09/2022 au 03/10/2022 et que 1 observation et/ou demande à être entendu a été introduite ; </w:t>
      </w:r>
    </w:p>
    <w:p w14:paraId="12D8518E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cette réclamation porte sur les modifications de gabarits, l’isolation acoustique, les terrasses, l’installation d’</w:t>
      </w:r>
      <w:r w:rsidRPr="00FF61E4">
        <w:rPr>
          <w:lang w:val="fr-BE"/>
        </w:rPr>
        <w:t xml:space="preserve">une citerne et les nuisances dues au chantier ; </w:t>
      </w:r>
    </w:p>
    <w:p w14:paraId="12D8518F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le bien est repris à l’inventaire du patrimoine architectural de la région de Bruxelles-Capitale(</w:t>
      </w:r>
      <w:hyperlink r:id="rId7" w:history="1">
        <w:r w:rsidRPr="00FF61E4">
          <w:rPr>
            <w:rStyle w:val="Lienhypertexte"/>
            <w:lang w:val="fr-BE"/>
          </w:rPr>
          <w:t xml:space="preserve">https://monument.heritage.brussels/fr/Saint-Josse-ten </w:t>
        </w:r>
        <w:proofErr w:type="spellStart"/>
        <w:r w:rsidRPr="00FF61E4">
          <w:rPr>
            <w:rStyle w:val="Lienhypertexte"/>
            <w:lang w:val="fr-BE"/>
          </w:rPr>
          <w:t>Noode</w:t>
        </w:r>
        <w:proofErr w:type="spellEnd"/>
        <w:r w:rsidRPr="00FF61E4">
          <w:rPr>
            <w:rStyle w:val="Lienhypertexte"/>
            <w:lang w:val="fr-BE"/>
          </w:rPr>
          <w:t>/</w:t>
        </w:r>
        <w:proofErr w:type="spellStart"/>
        <w:r w:rsidRPr="00FF61E4">
          <w:rPr>
            <w:rStyle w:val="Lienhypertexte"/>
            <w:lang w:val="fr-BE"/>
          </w:rPr>
          <w:t>Rue_du_Maeridien</w:t>
        </w:r>
        <w:proofErr w:type="spellEnd"/>
        <w:r w:rsidRPr="00FF61E4">
          <w:rPr>
            <w:rStyle w:val="Lienhypertexte"/>
            <w:lang w:val="fr-BE"/>
          </w:rPr>
          <w:t>/29/10864</w:t>
        </w:r>
      </w:hyperlink>
      <w:r w:rsidRPr="00FF61E4">
        <w:rPr>
          <w:lang w:val="fr-BE"/>
        </w:rPr>
        <w:t>) en raison de son intérêt historique et esthétique ;</w:t>
      </w:r>
    </w:p>
    <w:p w14:paraId="12D85190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en outre que cet hôtel de maître conserve de nombreux décors d’origine, essentiellement dans l’</w:t>
      </w:r>
      <w:r w:rsidRPr="00FF61E4">
        <w:rPr>
          <w:lang w:val="fr-BE"/>
        </w:rPr>
        <w:t>ensemble des pièces du rez-de-chaussée et dans les deux pièces à rue du 1</w:t>
      </w:r>
      <w:r w:rsidRPr="00FF61E4">
        <w:rPr>
          <w:vertAlign w:val="superscript"/>
          <w:lang w:val="fr-BE"/>
        </w:rPr>
        <w:t>er</w:t>
      </w:r>
      <w:r w:rsidRPr="00FF61E4">
        <w:rPr>
          <w:lang w:val="fr-BE"/>
        </w:rPr>
        <w:t xml:space="preserve"> étage ;</w:t>
      </w:r>
    </w:p>
    <w:p w14:paraId="12D85191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Considérant que la circulation centrale est composée d’un escalier tournant monumental éclairé d’un lanterneau particulièrement ouvragé en forme de coupole, ainsi que d’un </w:t>
      </w:r>
      <w:r w:rsidRPr="00FF61E4">
        <w:rPr>
          <w:lang w:val="fr-BE"/>
        </w:rPr>
        <w:t>deuxième escalier à double volée, lui-même richement décoré et éclairé d’un lanterneau rectangulaire ;</w:t>
      </w:r>
    </w:p>
    <w:p w14:paraId="12D85192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le hall d’entrée et le palier du 1</w:t>
      </w:r>
      <w:r w:rsidRPr="00FF61E4">
        <w:rPr>
          <w:vertAlign w:val="superscript"/>
          <w:lang w:val="fr-BE"/>
        </w:rPr>
        <w:t>er</w:t>
      </w:r>
      <w:r w:rsidRPr="00FF61E4">
        <w:rPr>
          <w:lang w:val="fr-BE"/>
        </w:rPr>
        <w:t xml:space="preserve"> étage forment un ensemble cohérent avec ces deux escaliers ;</w:t>
      </w:r>
    </w:p>
    <w:p w14:paraId="12D85193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Considérant que cet ensemble constitue </w:t>
      </w:r>
      <w:r w:rsidRPr="00FF61E4">
        <w:rPr>
          <w:lang w:val="fr-BE"/>
        </w:rPr>
        <w:t>l’élément central de l’hôtel de maître et lui confère par conséquent une grande valeur patrimoniale ;</w:t>
      </w:r>
    </w:p>
    <w:p w14:paraId="12D85194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le projet prévoit la division de l’hôtel de maître en plusieurs logements ;</w:t>
      </w:r>
    </w:p>
    <w:p w14:paraId="12D85195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lastRenderedPageBreak/>
        <w:t>Considérant dans ce but, l’ajout d’une cuisine ainsi qu’un esc</w:t>
      </w:r>
      <w:r w:rsidRPr="00FF61E4">
        <w:rPr>
          <w:lang w:val="fr-BE"/>
        </w:rPr>
        <w:t>alier supplémentaire dans les pièces à rue du rez-de-chaussée ; que cela n’est pas compatible avec la conservation des décors ;</w:t>
      </w:r>
    </w:p>
    <w:p w14:paraId="12D85196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qu’il est également prévu d’installer des pièces supplémentaires dans le hall du rez-de-chaussée ainsi que sur le pa</w:t>
      </w:r>
      <w:r w:rsidRPr="00FF61E4">
        <w:rPr>
          <w:lang w:val="fr-BE"/>
        </w:rPr>
        <w:t>lier du 1</w:t>
      </w:r>
      <w:r w:rsidRPr="00FF61E4">
        <w:rPr>
          <w:vertAlign w:val="superscript"/>
          <w:lang w:val="fr-BE"/>
        </w:rPr>
        <w:t>er</w:t>
      </w:r>
      <w:r w:rsidRPr="00FF61E4">
        <w:rPr>
          <w:lang w:val="fr-BE"/>
        </w:rPr>
        <w:t xml:space="preserve"> étage ; que cela implique le cloisonnement de ces espaces et la perte de leur valeur patrimoniale et spatiale ;</w:t>
      </w:r>
    </w:p>
    <w:p w14:paraId="12D85197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l’escalier à double volée menant du 1</w:t>
      </w:r>
      <w:r w:rsidRPr="00FF61E4">
        <w:rPr>
          <w:vertAlign w:val="superscript"/>
          <w:lang w:val="fr-BE"/>
        </w:rPr>
        <w:t>er</w:t>
      </w:r>
      <w:r w:rsidRPr="00FF61E4">
        <w:rPr>
          <w:lang w:val="fr-BE"/>
        </w:rPr>
        <w:t xml:space="preserve"> au 2é étage ainsi que son lanterneau sont supprimés ;</w:t>
      </w:r>
    </w:p>
    <w:p w14:paraId="12D85198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la cou</w:t>
      </w:r>
      <w:r w:rsidRPr="00FF61E4">
        <w:rPr>
          <w:lang w:val="fr-BE"/>
        </w:rPr>
        <w:t>pole éclairant l’escalier tournant est condamnée et éclairée artificiellement ;</w:t>
      </w:r>
    </w:p>
    <w:p w14:paraId="12D85199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par conséquent que ces interventions ne sont pas acceptables en ce qu’elles nuisent aux qualités patrimoniale de l’hôtel de maître ;</w:t>
      </w:r>
    </w:p>
    <w:p w14:paraId="12D8519A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si la division de l’hôtel de maître en plusieurs logement est envisageable, tous décors du rez-de-chaussée et des pièces à rue du 1</w:t>
      </w:r>
      <w:r w:rsidRPr="00FF61E4">
        <w:rPr>
          <w:vertAlign w:val="superscript"/>
          <w:lang w:val="fr-BE"/>
        </w:rPr>
        <w:t>er</w:t>
      </w:r>
      <w:r w:rsidRPr="00FF61E4">
        <w:rPr>
          <w:lang w:val="fr-BE"/>
        </w:rPr>
        <w:t xml:space="preserve"> étage doivent être conservés ;</w:t>
      </w:r>
    </w:p>
    <w:p w14:paraId="12D8519B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Considérant également qu’il y a lieu de conserver et de remettre en valeur </w:t>
      </w:r>
      <w:r w:rsidRPr="00FF61E4">
        <w:rPr>
          <w:lang w:val="fr-BE"/>
        </w:rPr>
        <w:t>le hall du rez-de-chaussée, le palier du 1</w:t>
      </w:r>
      <w:r w:rsidRPr="00FF61E4">
        <w:rPr>
          <w:vertAlign w:val="superscript"/>
          <w:lang w:val="fr-BE"/>
        </w:rPr>
        <w:t>er</w:t>
      </w:r>
      <w:r w:rsidRPr="00FF61E4">
        <w:rPr>
          <w:lang w:val="fr-BE"/>
        </w:rPr>
        <w:t xml:space="preserve"> étage, les deux escaliers ainsi que leurs lanterneaux respectifs ;</w:t>
      </w:r>
    </w:p>
    <w:p w14:paraId="12D8519C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la façade avant sera entièrement rénovée, que ceci permettra sa remise en valeur ;</w:t>
      </w:r>
    </w:p>
    <w:p w14:paraId="12D8519D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Considérant que les châssis seront remplacés </w:t>
      </w:r>
      <w:r w:rsidRPr="00FF61E4">
        <w:rPr>
          <w:lang w:val="fr-BE"/>
        </w:rPr>
        <w:t>par de nouveaux châssis en bois moulurés respectant les divisions d’origine ;</w:t>
      </w:r>
    </w:p>
    <w:p w14:paraId="12D8519E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la porte d’entrée en bois mouluré est maintenue et rénovée ;</w:t>
      </w:r>
    </w:p>
    <w:p w14:paraId="12D8519F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les lucarnes, actuellement condamnées, seront à nouveaux utilisées et remises en vale</w:t>
      </w:r>
      <w:r w:rsidRPr="00FF61E4">
        <w:rPr>
          <w:lang w:val="fr-BE"/>
        </w:rPr>
        <w:t>ur ;</w:t>
      </w:r>
    </w:p>
    <w:p w14:paraId="12D851A0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par contre que les ferronneries des caves hautes sont supprimées, qu’elles constituent un élément patrimonial de la façade puisqu’elles sont cohérentes avec les ferronneries des étages supérieurs, qu’il y a donc lieu de les conserver ;</w:t>
      </w:r>
    </w:p>
    <w:p w14:paraId="12D851A1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</w:t>
      </w:r>
      <w:r w:rsidRPr="00FF61E4">
        <w:rPr>
          <w:lang w:val="fr-BE"/>
        </w:rPr>
        <w:t xml:space="preserve">sidérant que le Plan de Gestion de l’Eau 2016-2021 encourage la gestion des eaux pluviales à la parcelle pour limiter les phénomènes d'inondations, permettre une résilience urbaine face aux autres effets du changement climatique et assurer un cadre de vie </w:t>
      </w:r>
      <w:r w:rsidRPr="00FF61E4">
        <w:rPr>
          <w:lang w:val="fr-BE"/>
        </w:rPr>
        <w:t>amélioré aux habitants ;</w:t>
      </w:r>
    </w:p>
    <w:p w14:paraId="12D851A2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l’article 18 de l’Ordonnance Cadre Eau, rappelant que tout propriétaire est responsable de la gestion des eaux pluviales sur sa parcelle ;</w:t>
      </w:r>
    </w:p>
    <w:p w14:paraId="12D851A3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qu'il faut réduire les volumes d'eaux pluviales qui sortent de la pa</w:t>
      </w:r>
      <w:r w:rsidRPr="00FF61E4">
        <w:rPr>
          <w:lang w:val="fr-BE"/>
        </w:rPr>
        <w:t>rcelle et restituer autant que possible l'eau au milieu naturel par infiltration, évaporation ou rejet à faible débit conformément au Plan de Gestion de l’Eau 2016-2021 ;</w:t>
      </w:r>
    </w:p>
    <w:p w14:paraId="12D851A4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les toitures végétales semi intensives sont plus qualitatives d’un po</w:t>
      </w:r>
      <w:r w:rsidRPr="00FF61E4">
        <w:rPr>
          <w:lang w:val="fr-BE"/>
        </w:rPr>
        <w:t>int de vue environnemental que les toitures végétales extensives ;</w:t>
      </w:r>
    </w:p>
    <w:p w14:paraId="12D851A5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Considérant que les dimensions du local et le type de support vélos ne sont pas mentionnés sur les plans et qu'il y a lieu de les préciser. (Le support doit permettre l’attache du cadre et </w:t>
      </w:r>
      <w:r w:rsidRPr="00FF61E4">
        <w:rPr>
          <w:lang w:val="fr-BE"/>
        </w:rPr>
        <w:t>de la roue avant du vélo. Les systèmes de type pince-roues sont à proscrire) ;</w:t>
      </w:r>
    </w:p>
    <w:p w14:paraId="12D851A6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lastRenderedPageBreak/>
        <w:t>Considérant que les aménagements du local vélo ne répondent pas aux besoins pour une utilisation régulière et pratique ;</w:t>
      </w:r>
    </w:p>
    <w:p w14:paraId="12D851A7" w14:textId="70F99498" w:rsidR="009C36AD" w:rsidRDefault="00F85A8E">
      <w:pPr>
        <w:rPr>
          <w:lang w:val="fr-BE"/>
        </w:rPr>
      </w:pPr>
      <w:r w:rsidRPr="00FF61E4">
        <w:rPr>
          <w:lang w:val="fr-BE"/>
        </w:rPr>
        <w:t>Considérant qu’il y a lieu d’améliorer l’agencement et l</w:t>
      </w:r>
      <w:r w:rsidRPr="00FF61E4">
        <w:rPr>
          <w:lang w:val="fr-BE"/>
        </w:rPr>
        <w:t>’accès au parking vélos, l'itinéraire à partir de la voirie jusqu’au parking vélo doit être indiqué via une signalétique confortable</w:t>
      </w:r>
      <w:r w:rsidR="00FF61E4">
        <w:rPr>
          <w:lang w:val="fr-BE"/>
        </w:rPr>
        <w:t>, antidérapante et bien visible</w:t>
      </w:r>
      <w:r w:rsidRPr="00FF61E4">
        <w:rPr>
          <w:lang w:val="fr-BE"/>
        </w:rPr>
        <w:t>;</w:t>
      </w:r>
    </w:p>
    <w:p w14:paraId="26363EB5" w14:textId="31669881" w:rsidR="00FF61E4" w:rsidRPr="00A120AD" w:rsidRDefault="00FF61E4" w:rsidP="00FF61E4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>
        <w:rPr>
          <w:rFonts w:ascii="Arial" w:hAnsi="Arial" w:cs="Arial"/>
          <w:b/>
          <w:noProof/>
          <w:lang w:val="fr-BE"/>
        </w:rPr>
        <w:t>Défavorable à la majorité</w:t>
      </w:r>
      <w:r>
        <w:rPr>
          <w:rFonts w:ascii="Arial" w:hAnsi="Arial" w:cs="Arial"/>
          <w:b/>
          <w:noProof/>
          <w:lang w:val="fr-BE"/>
        </w:rPr>
        <w:t xml:space="preserve"> (Urban – DU, Urban-DPC, BE)</w:t>
      </w:r>
    </w:p>
    <w:p w14:paraId="31C679AA" w14:textId="77777777" w:rsidR="00FF61E4" w:rsidRPr="00FF61E4" w:rsidRDefault="00FF61E4">
      <w:pPr>
        <w:rPr>
          <w:lang w:val="fr-BE"/>
        </w:rPr>
      </w:pPr>
    </w:p>
    <w:p w14:paraId="12D851A8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Avis minoritaire: </w:t>
      </w:r>
    </w:p>
    <w:p w14:paraId="12D851A9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la demande porte sur la réhabilitation d’un ancien hôtel de maître, anciennement utilisé en bureaux, en 10 logements ;</w:t>
      </w:r>
    </w:p>
    <w:p w14:paraId="12D851AA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l’ensemble de l’immeuble présente une surface de 1134 m²</w:t>
      </w:r>
    </w:p>
    <w:p w14:paraId="12D851AB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le bien est repris à l’inventair</w:t>
      </w:r>
      <w:r w:rsidRPr="00FF61E4">
        <w:rPr>
          <w:lang w:val="fr-BE"/>
        </w:rPr>
        <w:t>e du patrimoine et que la philosophie du projet vise à respecter la structure et les éléments d’architecture remarquables du bâtiment, en particulier les boiseries au rez-de-chaussée, la porte d’entrée, l’escalier et la coupole éclairante au-dessus de celu</w:t>
      </w:r>
      <w:r w:rsidRPr="00FF61E4">
        <w:rPr>
          <w:lang w:val="fr-BE"/>
        </w:rPr>
        <w:t>i-ci ;</w:t>
      </w:r>
    </w:p>
    <w:p w14:paraId="12D851AC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les gabarits ne seront quasiment pas modifiés, à l’exception de la création d’une grande lucarne en façade arrière permettant d’améliorer l’habitabilité du logement proposé sous toiture ;</w:t>
      </w:r>
    </w:p>
    <w:p w14:paraId="12D851AD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cette lucarne n’aura pas d’in</w:t>
      </w:r>
      <w:r w:rsidRPr="00FF61E4">
        <w:rPr>
          <w:lang w:val="fr-BE"/>
        </w:rPr>
        <w:t>fluence sur le voisin en terme de luminosité ;</w:t>
      </w:r>
    </w:p>
    <w:p w14:paraId="12D851AE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Considérant qu’au rez-de-chaussée et sous-sol, il est prévu deux </w:t>
      </w:r>
      <w:proofErr w:type="spellStart"/>
      <w:r w:rsidRPr="00FF61E4">
        <w:rPr>
          <w:lang w:val="fr-BE"/>
        </w:rPr>
        <w:t>souplex</w:t>
      </w:r>
      <w:proofErr w:type="spellEnd"/>
      <w:r w:rsidRPr="00FF61E4">
        <w:rPr>
          <w:lang w:val="fr-BE"/>
        </w:rPr>
        <w:t>, 2 et 3 chambres ;</w:t>
      </w:r>
    </w:p>
    <w:p w14:paraId="12D851AF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les pièces de vie au sous-sol ont une hauteur sous plafond suffisantes ;</w:t>
      </w:r>
    </w:p>
    <w:p w14:paraId="12D851B0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les chambres</w:t>
      </w:r>
      <w:r w:rsidRPr="00FF61E4">
        <w:rPr>
          <w:lang w:val="fr-BE"/>
        </w:rPr>
        <w:t xml:space="preserve"> du </w:t>
      </w:r>
      <w:proofErr w:type="spellStart"/>
      <w:r w:rsidRPr="00FF61E4">
        <w:rPr>
          <w:lang w:val="fr-BE"/>
        </w:rPr>
        <w:t>souplex</w:t>
      </w:r>
      <w:proofErr w:type="spellEnd"/>
      <w:r w:rsidRPr="00FF61E4">
        <w:rPr>
          <w:lang w:val="fr-BE"/>
        </w:rPr>
        <w:t xml:space="preserve"> arrière sont disposées autour d’une cour anglaises et disposent de grandes baies vitrées ;</w:t>
      </w:r>
    </w:p>
    <w:p w14:paraId="12D851B1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Considérant que les deux chambres du </w:t>
      </w:r>
      <w:proofErr w:type="spellStart"/>
      <w:r w:rsidRPr="00FF61E4">
        <w:rPr>
          <w:lang w:val="fr-BE"/>
        </w:rPr>
        <w:t>souplex</w:t>
      </w:r>
      <w:proofErr w:type="spellEnd"/>
      <w:r w:rsidRPr="00FF61E4">
        <w:rPr>
          <w:lang w:val="fr-BE"/>
        </w:rPr>
        <w:t xml:space="preserve"> avant dérogent légèrement au RRU en terme de surface nette éclairante, ;</w:t>
      </w:r>
    </w:p>
    <w:p w14:paraId="12D851B2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cependant que la façade</w:t>
      </w:r>
      <w:r w:rsidRPr="00FF61E4">
        <w:rPr>
          <w:lang w:val="fr-BE"/>
        </w:rPr>
        <w:t xml:space="preserve"> avant n’est pas modifiée et restaurée à l’identique, sauf pour les ferronneries des fenêtres du demi sous-sol qui seront remplacées par des vitrages ;</w:t>
      </w:r>
    </w:p>
    <w:p w14:paraId="12D851B3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les superficies proposées pour les chambres et la hauteur sous plafond ;</w:t>
      </w:r>
    </w:p>
    <w:p w14:paraId="12D851B4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Considérant que de </w:t>
      </w:r>
      <w:r w:rsidRPr="00FF61E4">
        <w:rPr>
          <w:lang w:val="fr-BE"/>
        </w:rPr>
        <w:t>ce fait la dérogation est acceptable ;</w:t>
      </w:r>
    </w:p>
    <w:p w14:paraId="12D851B5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Considérant qu’au sous-sol il est prévu 7 espaces de rangement, dont 1 dans le </w:t>
      </w:r>
      <w:proofErr w:type="spellStart"/>
      <w:r w:rsidRPr="00FF61E4">
        <w:rPr>
          <w:lang w:val="fr-BE"/>
        </w:rPr>
        <w:t>souplex</w:t>
      </w:r>
      <w:proofErr w:type="spellEnd"/>
      <w:r w:rsidRPr="00FF61E4">
        <w:rPr>
          <w:lang w:val="fr-BE"/>
        </w:rPr>
        <w:t xml:space="preserve"> arrière ;</w:t>
      </w:r>
    </w:p>
    <w:p w14:paraId="12D851B6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le logement situé dans l’écurie arrière possède son propre espace de rangement ainsi que les appartements arrières au 1</w:t>
      </w:r>
      <w:r w:rsidRPr="00FF61E4">
        <w:rPr>
          <w:vertAlign w:val="superscript"/>
          <w:lang w:val="fr-BE"/>
        </w:rPr>
        <w:t>er</w:t>
      </w:r>
      <w:r w:rsidRPr="00FF61E4">
        <w:rPr>
          <w:lang w:val="fr-BE"/>
        </w:rPr>
        <w:t xml:space="preserve"> et deuxième</w:t>
      </w:r>
    </w:p>
    <w:p w14:paraId="12D851B7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qu’au 1</w:t>
      </w:r>
      <w:r w:rsidRPr="00FF61E4">
        <w:rPr>
          <w:vertAlign w:val="superscript"/>
          <w:lang w:val="fr-BE"/>
        </w:rPr>
        <w:t>er</w:t>
      </w:r>
      <w:r w:rsidRPr="00FF61E4">
        <w:rPr>
          <w:lang w:val="fr-BE"/>
        </w:rPr>
        <w:t xml:space="preserve"> étage il est prévu un appartement 1 chambre en façade avant et 1 appartement 3 chamb</w:t>
      </w:r>
      <w:r w:rsidRPr="00FF61E4">
        <w:rPr>
          <w:lang w:val="fr-BE"/>
        </w:rPr>
        <w:t>res en façade arrière ;</w:t>
      </w:r>
    </w:p>
    <w:p w14:paraId="12D851B8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qu’au 2ème étage il est prévu 2 appartements 2 chambres traversant ; ;</w:t>
      </w:r>
    </w:p>
    <w:p w14:paraId="12D851B9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lastRenderedPageBreak/>
        <w:t>Considérant qu’au 3ème étage il est prévu 2 appartements 2 chambres traversant ;</w:t>
      </w:r>
    </w:p>
    <w:p w14:paraId="12D851BA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dans l’étage sous toiture il est prévu un appartemen</w:t>
      </w:r>
      <w:r w:rsidRPr="00FF61E4">
        <w:rPr>
          <w:lang w:val="fr-BE"/>
        </w:rPr>
        <w:t>t 2 chambres ;</w:t>
      </w:r>
    </w:p>
    <w:p w14:paraId="12D851BB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tout l’aménagement s’agence autour de la cage d’escalier magistrale ;</w:t>
      </w:r>
    </w:p>
    <w:p w14:paraId="12D851BC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qu’il est prévu un plancher sur la coupole qui sera éclairée de manière artificielle afin d’agrandir les surface habitable à partir du 2</w:t>
      </w:r>
      <w:r w:rsidRPr="00FF61E4">
        <w:rPr>
          <w:vertAlign w:val="superscript"/>
          <w:lang w:val="fr-BE"/>
        </w:rPr>
        <w:t>ème</w:t>
      </w:r>
      <w:r w:rsidRPr="00FF61E4">
        <w:rPr>
          <w:lang w:val="fr-BE"/>
        </w:rPr>
        <w:t xml:space="preserve"> éta</w:t>
      </w:r>
      <w:r w:rsidRPr="00FF61E4">
        <w:rPr>
          <w:lang w:val="fr-BE"/>
        </w:rPr>
        <w:t>ge ;</w:t>
      </w:r>
    </w:p>
    <w:p w14:paraId="12D851BD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qu’une partie du mitoyen avec le 31 sera rehaussée afin de pouvoir créer une extension ;</w:t>
      </w:r>
    </w:p>
    <w:p w14:paraId="12D851BE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cette extension est conforme au titre I du RRU ;</w:t>
      </w:r>
    </w:p>
    <w:p w14:paraId="12D851BF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Considérant que le </w:t>
      </w:r>
      <w:proofErr w:type="spellStart"/>
      <w:r w:rsidRPr="00FF61E4">
        <w:rPr>
          <w:lang w:val="fr-BE"/>
        </w:rPr>
        <w:t>souplex</w:t>
      </w:r>
      <w:proofErr w:type="spellEnd"/>
      <w:r w:rsidRPr="00FF61E4">
        <w:rPr>
          <w:lang w:val="fr-BE"/>
        </w:rPr>
        <w:t xml:space="preserve"> arrière et le bâtiment du fond auront chacun un jardin pri</w:t>
      </w:r>
      <w:r w:rsidRPr="00FF61E4">
        <w:rPr>
          <w:lang w:val="fr-BE"/>
        </w:rPr>
        <w:t>vatif ;</w:t>
      </w:r>
    </w:p>
    <w:p w14:paraId="12D851C0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que les logements arrières du 1</w:t>
      </w:r>
      <w:r w:rsidRPr="00FF61E4">
        <w:rPr>
          <w:vertAlign w:val="superscript"/>
          <w:lang w:val="fr-BE"/>
        </w:rPr>
        <w:t>er</w:t>
      </w:r>
      <w:r w:rsidRPr="00FF61E4">
        <w:rPr>
          <w:lang w:val="fr-BE"/>
        </w:rPr>
        <w:t xml:space="preserve"> et 2</w:t>
      </w:r>
      <w:r w:rsidRPr="00FF61E4">
        <w:rPr>
          <w:vertAlign w:val="superscript"/>
          <w:lang w:val="fr-BE"/>
        </w:rPr>
        <w:t>ème</w:t>
      </w:r>
      <w:r w:rsidRPr="00FF61E4">
        <w:rPr>
          <w:lang w:val="fr-BE"/>
        </w:rPr>
        <w:t xml:space="preserve"> étages bénéficieront de terrasses, conformes au code civil en matière de vue ;</w:t>
      </w:r>
    </w:p>
    <w:p w14:paraId="12D851C1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qu’il est prévu des parkings pour vélos facilement accessibles au rez-de-chaussée ;</w:t>
      </w:r>
    </w:p>
    <w:p w14:paraId="12D851C2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qu’actu</w:t>
      </w:r>
      <w:r w:rsidRPr="00FF61E4">
        <w:rPr>
          <w:lang w:val="fr-BE"/>
        </w:rPr>
        <w:t>ellement la cour est entièrement pavé mais qu’il est prévu de transformer une partie de cette cour en jardins privatifs ;</w:t>
      </w:r>
    </w:p>
    <w:p w14:paraId="12D851C3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qu’un arbre est également prévu afin de créer un îlot de fraîcheur en intérieur d’îlot ;</w:t>
      </w:r>
    </w:p>
    <w:p w14:paraId="12D851C4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qu’il est prévu le pl</w:t>
      </w:r>
      <w:r w:rsidRPr="00FF61E4">
        <w:rPr>
          <w:lang w:val="fr-BE"/>
        </w:rPr>
        <w:t>acement d’une citerne de récupération d’eau de pluie de 5.000 l ainsi que des toitures vertes ;</w:t>
      </w:r>
    </w:p>
    <w:p w14:paraId="12D851C5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>Considérant le parti-pris architectural du demandeur et la préservation des qualités architecturales majeures du bien ;</w:t>
      </w:r>
    </w:p>
    <w:p w14:paraId="12D851C6" w14:textId="77777777" w:rsidR="009C36AD" w:rsidRPr="00FF61E4" w:rsidRDefault="00F85A8E">
      <w:pPr>
        <w:rPr>
          <w:lang w:val="fr-BE"/>
        </w:rPr>
      </w:pPr>
      <w:r w:rsidRPr="00FF61E4">
        <w:rPr>
          <w:lang w:val="fr-BE"/>
        </w:rPr>
        <w:t xml:space="preserve"> </w:t>
      </w:r>
    </w:p>
    <w:p w14:paraId="12D851C7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2D851CD" w14:textId="38822390" w:rsidR="00110EB8" w:rsidRPr="00A120AD" w:rsidRDefault="00110EB8" w:rsidP="00FF61E4">
      <w:pPr>
        <w:suppressAutoHyphens/>
        <w:spacing w:after="0" w:line="240" w:lineRule="auto"/>
        <w:outlineLvl w:val="0"/>
        <w:rPr>
          <w:rFonts w:ascii="Arial" w:hAnsi="Arial" w:cs="Arial"/>
          <w:b/>
          <w:spacing w:val="-3"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 xml:space="preserve">favorable </w:t>
      </w:r>
      <w:r w:rsidR="00FF61E4">
        <w:rPr>
          <w:rFonts w:ascii="Arial" w:hAnsi="Arial" w:cs="Arial"/>
          <w:b/>
          <w:noProof/>
          <w:lang w:val="fr-BE"/>
        </w:rPr>
        <w:t>(commune).</w:t>
      </w:r>
      <w:bookmarkStart w:id="0" w:name="_GoBack"/>
      <w:bookmarkEnd w:id="0"/>
    </w:p>
    <w:sectPr w:rsidR="00110EB8" w:rsidRPr="00A120AD" w:rsidSect="00263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851D0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12D851D1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851D4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851D5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851D7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851CE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12D851CF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851D2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851D3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851D6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54F7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36AD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5A8E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517F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onument.heritage.brussels/fr/Saint-Josse-ten%20Noode/Rue_du_Maeridien/29/1086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Anne Winterberg</cp:lastModifiedBy>
  <cp:revision>2</cp:revision>
  <cp:lastPrinted>2009-03-09T16:55:00Z</cp:lastPrinted>
  <dcterms:created xsi:type="dcterms:W3CDTF">2022-12-06T10:23:00Z</dcterms:created>
  <dcterms:modified xsi:type="dcterms:W3CDTF">2022-12-06T10:23:00Z</dcterms:modified>
</cp:coreProperties>
</file>