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ACD81" w14:textId="11464A74" w:rsidR="00110EB8" w:rsidRPr="006D2E38" w:rsidRDefault="000210C9" w:rsidP="006D2E38">
      <w:pPr>
        <w:autoSpaceDE w:val="0"/>
        <w:autoSpaceDN w:val="0"/>
        <w:adjustRightInd w:val="0"/>
        <w:spacing w:after="0" w:line="240" w:lineRule="auto"/>
        <w:rPr>
          <w:rFonts w:ascii="Arial" w:hAnsi="Arial" w:cs="Arial"/>
          <w:b/>
          <w:bCs/>
          <w:sz w:val="20"/>
          <w:szCs w:val="20"/>
          <w:lang w:val="fr-BE" w:eastAsia="fr-BE"/>
        </w:rPr>
      </w:pPr>
      <w:bookmarkStart w:id="0" w:name="_GoBack"/>
      <w:bookmarkEnd w:id="0"/>
      <w:r w:rsidRPr="006D2E38">
        <w:rPr>
          <w:rFonts w:ascii="Arial" w:hAnsi="Arial" w:cs="Arial"/>
          <w:b/>
          <w:bCs/>
          <w:noProof/>
          <w:sz w:val="20"/>
          <w:szCs w:val="20"/>
          <w:lang w:val="fr-BE" w:eastAsia="fr-BE"/>
        </w:rPr>
        <w:t>PE/1060/1B</w:t>
      </w:r>
      <w:r w:rsidR="00110EB8" w:rsidRPr="006D2E38">
        <w:rPr>
          <w:rFonts w:ascii="Arial" w:hAnsi="Arial" w:cs="Arial"/>
          <w:b/>
          <w:bCs/>
          <w:sz w:val="20"/>
          <w:szCs w:val="20"/>
          <w:lang w:val="fr-BE" w:eastAsia="fr-BE"/>
        </w:rPr>
        <w:t xml:space="preserve"> : Demande de </w:t>
      </w:r>
      <w:r w:rsidRPr="006D2E38">
        <w:rPr>
          <w:rFonts w:ascii="Arial" w:hAnsi="Arial" w:cs="Arial"/>
          <w:b/>
          <w:bCs/>
          <w:noProof/>
          <w:sz w:val="20"/>
          <w:szCs w:val="20"/>
          <w:lang w:val="fr-BE" w:eastAsia="fr-BE"/>
        </w:rPr>
        <w:t>permis d'environnement</w:t>
      </w:r>
      <w:r w:rsidR="00110EB8" w:rsidRPr="006D2E38">
        <w:rPr>
          <w:rFonts w:ascii="Arial" w:hAnsi="Arial" w:cs="Arial"/>
          <w:b/>
          <w:bCs/>
          <w:sz w:val="20"/>
          <w:szCs w:val="20"/>
          <w:lang w:val="fr-BE" w:eastAsia="fr-BE"/>
        </w:rPr>
        <w:t xml:space="preserve"> pour </w:t>
      </w:r>
      <w:r w:rsidRPr="006D2E38">
        <w:rPr>
          <w:rFonts w:ascii="Arial" w:hAnsi="Arial" w:cs="Arial"/>
          <w:b/>
          <w:bCs/>
          <w:noProof/>
          <w:sz w:val="20"/>
          <w:szCs w:val="20"/>
          <w:lang w:val="fr-BE" w:eastAsia="fr-BE"/>
        </w:rPr>
        <w:t>exploitation d'un immeuble de bureaux</w:t>
      </w:r>
      <w:r w:rsidR="006D2E38">
        <w:rPr>
          <w:rFonts w:ascii="Arial" w:hAnsi="Arial" w:cs="Arial"/>
          <w:b/>
          <w:bCs/>
          <w:sz w:val="20"/>
          <w:szCs w:val="20"/>
          <w:lang w:val="fr-BE" w:eastAsia="fr-BE"/>
        </w:rPr>
        <w:t xml:space="preserve"> </w:t>
      </w:r>
      <w:r w:rsidR="00110EB8" w:rsidRPr="006D2E38">
        <w:rPr>
          <w:rFonts w:ascii="Arial" w:hAnsi="Arial" w:cs="Arial"/>
          <w:b/>
          <w:bCs/>
          <w:sz w:val="20"/>
          <w:szCs w:val="20"/>
          <w:lang w:val="fr-BE" w:eastAsia="fr-BE"/>
        </w:rPr>
        <w:t xml:space="preserve">; </w:t>
      </w:r>
      <w:r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Rue Potagère</w:t>
      </w:r>
      <w:r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29</w:t>
      </w:r>
      <w:r w:rsidRPr="006D2E38">
        <w:rPr>
          <w:rFonts w:ascii="Arial" w:hAnsi="Arial" w:cs="Arial"/>
          <w:b/>
          <w:bCs/>
          <w:sz w:val="20"/>
          <w:szCs w:val="20"/>
          <w:lang w:val="fr-BE" w:eastAsia="fr-BE"/>
        </w:rPr>
        <w:t xml:space="preserve">  </w:t>
      </w:r>
      <w:r w:rsidR="006D2E38">
        <w:rPr>
          <w:rFonts w:ascii="Arial" w:hAnsi="Arial" w:cs="Arial"/>
          <w:b/>
          <w:bCs/>
          <w:noProof/>
          <w:sz w:val="20"/>
          <w:szCs w:val="20"/>
          <w:lang w:val="fr-BE" w:eastAsia="fr-BE"/>
        </w:rPr>
        <w:t xml:space="preserve">/ </w:t>
      </w:r>
      <w:r w:rsidRPr="006D2E38">
        <w:rPr>
          <w:rFonts w:ascii="Arial" w:hAnsi="Arial" w:cs="Arial"/>
          <w:b/>
          <w:bCs/>
          <w:noProof/>
          <w:sz w:val="20"/>
          <w:szCs w:val="20"/>
          <w:lang w:val="fr-BE" w:eastAsia="fr-BE"/>
        </w:rPr>
        <w:t>Avenue de l'Astronomie</w:t>
      </w:r>
      <w:r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23</w:t>
      </w:r>
      <w:r w:rsidR="006D2E38">
        <w:rPr>
          <w:rFonts w:ascii="Arial" w:hAnsi="Arial" w:cs="Arial"/>
          <w:b/>
          <w:bCs/>
          <w:sz w:val="20"/>
          <w:szCs w:val="20"/>
          <w:lang w:val="fr-BE" w:eastAsia="fr-BE"/>
        </w:rPr>
        <w:t xml:space="preserve"> - </w:t>
      </w:r>
      <w:r w:rsidRPr="006D2E38">
        <w:rPr>
          <w:rFonts w:ascii="Arial" w:hAnsi="Arial" w:cs="Arial"/>
          <w:b/>
          <w:bCs/>
          <w:noProof/>
          <w:sz w:val="20"/>
          <w:szCs w:val="20"/>
          <w:lang w:val="fr-BE" w:eastAsia="fr-BE"/>
        </w:rPr>
        <w:t>24</w:t>
      </w:r>
      <w:r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br/>
      </w:r>
      <w:r w:rsidRPr="006D2E38">
        <w:rPr>
          <w:rFonts w:ascii="Arial" w:hAnsi="Arial" w:cs="Arial"/>
          <w:b/>
          <w:bCs/>
          <w:sz w:val="20"/>
          <w:szCs w:val="20"/>
          <w:lang w:val="fr-BE" w:eastAsia="fr-BE"/>
        </w:rPr>
        <w:t xml:space="preserve"> </w:t>
      </w:r>
      <w:r w:rsidR="00110EB8" w:rsidRPr="006D2E38">
        <w:rPr>
          <w:rFonts w:ascii="Arial" w:hAnsi="Arial" w:cs="Arial"/>
          <w:b/>
          <w:bCs/>
          <w:sz w:val="20"/>
          <w:szCs w:val="20"/>
          <w:lang w:val="fr-BE" w:eastAsia="fr-BE"/>
        </w:rPr>
        <w:t xml:space="preserve">introduite par  </w:t>
      </w:r>
      <w:r w:rsidRPr="006D2E38">
        <w:rPr>
          <w:rFonts w:ascii="Arial" w:hAnsi="Arial" w:cs="Arial"/>
          <w:b/>
          <w:bCs/>
          <w:sz w:val="20"/>
          <w:szCs w:val="20"/>
          <w:lang w:val="fr-BE" w:eastAsia="fr-BE"/>
        </w:rPr>
        <w:t xml:space="preserve">  </w:t>
      </w:r>
      <w:r w:rsidR="00110EB8"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WESTINVEST GESELLSCHAFT FUR INVESTMENTFONDS</w:t>
      </w:r>
      <w:r w:rsidR="00110EB8"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DIVERS</w:t>
      </w:r>
      <w:r w:rsidR="00110EB8" w:rsidRPr="006D2E38">
        <w:rPr>
          <w:rFonts w:ascii="Arial" w:hAnsi="Arial" w:cs="Arial"/>
          <w:b/>
          <w:bCs/>
          <w:sz w:val="20"/>
          <w:szCs w:val="20"/>
          <w:lang w:val="fr-BE" w:eastAsia="fr-BE"/>
        </w:rPr>
        <w:t xml:space="preserve"> </w:t>
      </w:r>
      <w:r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Avenue Louise</w:t>
      </w:r>
      <w:r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523</w:t>
      </w:r>
      <w:r w:rsidRPr="006D2E38">
        <w:rPr>
          <w:rFonts w:ascii="Arial" w:hAnsi="Arial" w:cs="Arial"/>
          <w:b/>
          <w:bCs/>
          <w:sz w:val="20"/>
          <w:szCs w:val="20"/>
          <w:lang w:val="fr-BE" w:eastAsia="fr-BE"/>
        </w:rPr>
        <w:t xml:space="preserve"> </w:t>
      </w:r>
      <w:r w:rsidR="00110EB8" w:rsidRPr="006D2E38">
        <w:rPr>
          <w:rFonts w:ascii="Arial" w:hAnsi="Arial" w:cs="Arial"/>
          <w:b/>
          <w:bCs/>
          <w:sz w:val="20"/>
          <w:szCs w:val="20"/>
          <w:lang w:val="fr-BE" w:eastAsia="fr-BE"/>
        </w:rPr>
        <w:t xml:space="preserve"> </w:t>
      </w:r>
      <w:r w:rsidR="006D2E38">
        <w:rPr>
          <w:rFonts w:ascii="Arial" w:hAnsi="Arial" w:cs="Arial"/>
          <w:b/>
          <w:bCs/>
          <w:sz w:val="20"/>
          <w:szCs w:val="20"/>
          <w:lang w:val="fr-BE" w:eastAsia="fr-BE"/>
        </w:rPr>
        <w:t xml:space="preserve">à </w:t>
      </w:r>
      <w:r w:rsidRPr="006D2E38">
        <w:rPr>
          <w:rFonts w:ascii="Arial" w:hAnsi="Arial" w:cs="Arial"/>
          <w:b/>
          <w:bCs/>
          <w:noProof/>
          <w:sz w:val="20"/>
          <w:szCs w:val="20"/>
          <w:lang w:val="fr-BE" w:eastAsia="fr-BE"/>
        </w:rPr>
        <w:t>1050</w:t>
      </w:r>
      <w:r w:rsidR="00110EB8" w:rsidRPr="006D2E38">
        <w:rPr>
          <w:rFonts w:ascii="Arial" w:hAnsi="Arial" w:cs="Arial"/>
          <w:b/>
          <w:bCs/>
          <w:sz w:val="20"/>
          <w:szCs w:val="20"/>
          <w:lang w:val="fr-BE" w:eastAsia="fr-BE"/>
        </w:rPr>
        <w:t xml:space="preserve"> </w:t>
      </w:r>
      <w:r w:rsidRPr="006D2E38">
        <w:rPr>
          <w:rFonts w:ascii="Arial" w:hAnsi="Arial" w:cs="Arial"/>
          <w:b/>
          <w:bCs/>
          <w:noProof/>
          <w:sz w:val="20"/>
          <w:szCs w:val="20"/>
          <w:lang w:val="fr-BE" w:eastAsia="fr-BE"/>
        </w:rPr>
        <w:t>Bruxelles</w:t>
      </w:r>
      <w:r w:rsidR="00110EB8" w:rsidRPr="006D2E38">
        <w:rPr>
          <w:rFonts w:ascii="Arial" w:hAnsi="Arial" w:cs="Arial"/>
          <w:b/>
          <w:bCs/>
          <w:sz w:val="20"/>
          <w:szCs w:val="20"/>
          <w:lang w:val="fr-BE" w:eastAsia="fr-BE"/>
        </w:rPr>
        <w:t>.</w:t>
      </w:r>
    </w:p>
    <w:p w14:paraId="1F2ACD84" w14:textId="192A213E" w:rsidR="00110EB8" w:rsidRPr="006D2E38" w:rsidRDefault="00110EB8" w:rsidP="006D2E38">
      <w:pPr>
        <w:autoSpaceDE w:val="0"/>
        <w:autoSpaceDN w:val="0"/>
        <w:adjustRightInd w:val="0"/>
        <w:spacing w:after="0" w:line="240" w:lineRule="auto"/>
        <w:rPr>
          <w:rFonts w:ascii="Arial" w:hAnsi="Arial" w:cs="Arial"/>
          <w:b/>
          <w:bCs/>
          <w:sz w:val="20"/>
          <w:szCs w:val="20"/>
          <w:lang w:val="fr-BE" w:eastAsia="fr-BE"/>
        </w:rPr>
      </w:pPr>
    </w:p>
    <w:p w14:paraId="1F2ACD85" w14:textId="77777777" w:rsidR="00110EB8" w:rsidRPr="006D2E38" w:rsidRDefault="00110EB8" w:rsidP="006D2E38">
      <w:pPr>
        <w:autoSpaceDE w:val="0"/>
        <w:autoSpaceDN w:val="0"/>
        <w:adjustRightInd w:val="0"/>
        <w:spacing w:after="0" w:line="240" w:lineRule="auto"/>
        <w:rPr>
          <w:rFonts w:ascii="Arial" w:hAnsi="Arial" w:cs="Arial"/>
          <w:b/>
          <w:bCs/>
          <w:sz w:val="20"/>
          <w:szCs w:val="20"/>
          <w:u w:val="single"/>
          <w:lang w:val="fr-BE" w:eastAsia="fr-BE"/>
        </w:rPr>
      </w:pPr>
      <w:r w:rsidRPr="006D2E38">
        <w:rPr>
          <w:rFonts w:ascii="Arial" w:hAnsi="Arial" w:cs="Arial"/>
          <w:b/>
          <w:bCs/>
          <w:sz w:val="20"/>
          <w:szCs w:val="20"/>
          <w:u w:val="single"/>
          <w:lang w:val="fr-BE" w:eastAsia="fr-BE"/>
        </w:rPr>
        <w:t>AVIS</w:t>
      </w:r>
    </w:p>
    <w:p w14:paraId="1F2ACD87" w14:textId="004A08F1" w:rsidR="00110EB8" w:rsidRPr="006D2E38" w:rsidRDefault="00110EB8" w:rsidP="006D2E38">
      <w:pPr>
        <w:suppressAutoHyphens/>
        <w:spacing w:after="0" w:line="240" w:lineRule="auto"/>
        <w:rPr>
          <w:rFonts w:ascii="Arial" w:hAnsi="Arial" w:cs="Arial"/>
          <w:sz w:val="20"/>
          <w:szCs w:val="20"/>
          <w:lang w:val="fr-BE"/>
        </w:rPr>
      </w:pPr>
    </w:p>
    <w:p w14:paraId="1F2ACD88"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 xml:space="preserve">Vu la demande de     WESTINVEST GESELLSCHAFT FUR INVESTMENTFONDS DIVERS,  Avenue Louise 523  à 1050 Bruxelles visant à </w:t>
      </w:r>
      <w:proofErr w:type="spellStart"/>
      <w:r w:rsidRPr="006D2E38">
        <w:rPr>
          <w:rFonts w:ascii="Arial" w:hAnsi="Arial" w:cs="Arial"/>
          <w:sz w:val="20"/>
          <w:szCs w:val="20"/>
          <w:lang w:val="fr-BE"/>
        </w:rPr>
        <w:t>renouveller</w:t>
      </w:r>
      <w:proofErr w:type="spellEnd"/>
      <w:r w:rsidRPr="006D2E38">
        <w:rPr>
          <w:rFonts w:ascii="Arial" w:hAnsi="Arial" w:cs="Arial"/>
          <w:sz w:val="20"/>
          <w:szCs w:val="20"/>
          <w:lang w:val="fr-BE"/>
        </w:rPr>
        <w:t xml:space="preserve"> le permis d’environnement de classe IB pour un bien sis   Avenue de l'Astronomie 23 -24 et rue Potagère, 29 ;</w:t>
      </w:r>
      <w:r w:rsidRPr="006D2E38">
        <w:rPr>
          <w:rFonts w:ascii="Arial" w:hAnsi="Arial" w:cs="Arial"/>
          <w:sz w:val="20"/>
          <w:szCs w:val="20"/>
          <w:lang w:val="fr-BE"/>
        </w:rPr>
        <w:br/>
        <w:t>Considérant que le bien concerné se trouve en zones administratives, zones d'habitation, en zone d'intérêt culturel, historique, esthétique ou d'embellissement, le long d'un espace structurant au plan régional d’affectation du sol arrêté par arrêté du gouvernement du 3 mai 2001 ;</w:t>
      </w:r>
    </w:p>
    <w:p w14:paraId="1F2ACD89"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 xml:space="preserve">Considérant que le bien se situe au  PPAS N°25 « MERIDIEN ILOTS DELIMITES PAR LES RUES DU Méridien, de la Limite, de l'Union, de </w:t>
      </w:r>
      <w:proofErr w:type="spellStart"/>
      <w:r w:rsidRPr="006D2E38">
        <w:rPr>
          <w:rFonts w:ascii="Arial" w:hAnsi="Arial" w:cs="Arial"/>
          <w:sz w:val="20"/>
          <w:szCs w:val="20"/>
          <w:lang w:val="fr-BE"/>
        </w:rPr>
        <w:t>Beriot</w:t>
      </w:r>
      <w:proofErr w:type="spellEnd"/>
      <w:r w:rsidRPr="006D2E38">
        <w:rPr>
          <w:rFonts w:ascii="Arial" w:hAnsi="Arial" w:cs="Arial"/>
          <w:sz w:val="20"/>
          <w:szCs w:val="20"/>
          <w:lang w:val="fr-BE"/>
        </w:rPr>
        <w:t xml:space="preserve">, </w:t>
      </w:r>
      <w:proofErr w:type="spellStart"/>
      <w:r w:rsidRPr="006D2E38">
        <w:rPr>
          <w:rFonts w:ascii="Arial" w:hAnsi="Arial" w:cs="Arial"/>
          <w:sz w:val="20"/>
          <w:szCs w:val="20"/>
          <w:lang w:val="fr-BE"/>
        </w:rPr>
        <w:t>Potagere</w:t>
      </w:r>
      <w:proofErr w:type="spellEnd"/>
      <w:r w:rsidRPr="006D2E38">
        <w:rPr>
          <w:rFonts w:ascii="Arial" w:hAnsi="Arial" w:cs="Arial"/>
          <w:sz w:val="20"/>
          <w:szCs w:val="20"/>
          <w:lang w:val="fr-BE"/>
        </w:rPr>
        <w:t xml:space="preserve"> et le square </w:t>
      </w:r>
      <w:proofErr w:type="spellStart"/>
      <w:r w:rsidRPr="006D2E38">
        <w:rPr>
          <w:rFonts w:ascii="Arial" w:hAnsi="Arial" w:cs="Arial"/>
          <w:sz w:val="20"/>
          <w:szCs w:val="20"/>
          <w:lang w:val="fr-BE"/>
        </w:rPr>
        <w:t>H.Frick</w:t>
      </w:r>
      <w:proofErr w:type="spellEnd"/>
      <w:r w:rsidRPr="006D2E38">
        <w:rPr>
          <w:rFonts w:ascii="Arial" w:hAnsi="Arial" w:cs="Arial"/>
          <w:sz w:val="20"/>
          <w:szCs w:val="20"/>
          <w:lang w:val="fr-BE"/>
        </w:rPr>
        <w:t xml:space="preserve"> », ayant fait l'objet d'un arrêté de type « Ord. 91 - Arrêté PM </w:t>
      </w:r>
      <w:proofErr w:type="spellStart"/>
      <w:r w:rsidRPr="006D2E38">
        <w:rPr>
          <w:rFonts w:ascii="Arial" w:hAnsi="Arial" w:cs="Arial"/>
          <w:sz w:val="20"/>
          <w:szCs w:val="20"/>
          <w:lang w:val="fr-BE"/>
        </w:rPr>
        <w:t>Tot</w:t>
      </w:r>
      <w:proofErr w:type="spellEnd"/>
      <w:r w:rsidRPr="006D2E38">
        <w:rPr>
          <w:rFonts w:ascii="Arial" w:hAnsi="Arial" w:cs="Arial"/>
          <w:sz w:val="20"/>
          <w:szCs w:val="20"/>
          <w:lang w:val="fr-BE"/>
        </w:rPr>
        <w:t xml:space="preserve"> » en date du 05/06/1997. ;</w:t>
      </w:r>
    </w:p>
    <w:p w14:paraId="1F2ACD8A"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 xml:space="preserve">Considérant l’enquête publique qui s’est tenue du 17/08 au 19/09 et </w:t>
      </w:r>
      <w:proofErr w:type="spellStart"/>
      <w:r w:rsidRPr="006D2E38">
        <w:rPr>
          <w:rFonts w:ascii="Arial" w:hAnsi="Arial" w:cs="Arial"/>
          <w:sz w:val="20"/>
          <w:szCs w:val="20"/>
          <w:lang w:val="fr-BE"/>
        </w:rPr>
        <w:t>à</w:t>
      </w:r>
      <w:proofErr w:type="spellEnd"/>
      <w:r w:rsidRPr="006D2E38">
        <w:rPr>
          <w:rFonts w:ascii="Arial" w:hAnsi="Arial" w:cs="Arial"/>
          <w:sz w:val="20"/>
          <w:szCs w:val="20"/>
          <w:lang w:val="fr-BE"/>
        </w:rPr>
        <w:t xml:space="preserve"> fait l'objet d'une remarque  et que celle-ci porte sur le bruit des groupes de secours ;</w:t>
      </w:r>
    </w:p>
    <w:p w14:paraId="1F2ACD8B"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qu’il s’agit d’un renouvellement d’un permis d’environnement pour un immeuble existant portant sur les installations techniques du dit immeuble (chaufferie, groupes électrogènes, transformateurs statiques, installation de refroidissement et un parking de 74 emplacements) ;</w:t>
      </w:r>
    </w:p>
    <w:p w14:paraId="1F2ACD8C"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que les installations classées n’ont pas été modifiées depuis le dernier permis ;</w:t>
      </w:r>
    </w:p>
    <w:p w14:paraId="1F2ACD8D"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que le 23-27 avenue de l’Astronomie et le 15-29 rue Potagère sont 2 parcelles cadastrales différentes, qui pour des raisons historiques et temporelles ont fait l’objet à l’époque de permis d’environnement distincts ;</w:t>
      </w:r>
    </w:p>
    <w:p w14:paraId="1F2ACD8E"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qu’il avait été mentionné dans l’avis du Collège communal du 21/01/2020 que lors du renouvellement du permis pour le bâtiment principal, on pourra considérer les deux parcelles comme une unité technique et géographique, en additionnant les parkings couverts et à l’air l’libre (74 emplacements au total),</w:t>
      </w:r>
    </w:p>
    <w:p w14:paraId="1F2ACD8F"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que la présente demande vise à régulariser les installations classées de ces 2 entités,</w:t>
      </w:r>
    </w:p>
    <w:p w14:paraId="1F2ACD90"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que dans le permis précédent n°46920, une ventilation mécanique avait été imposée pour le parking couvert mais qu’il a été constaté en visite que celle-ci n’avait pas été mise en place et que le parking était ventilé naturellement et les extracteurs présents étaient hors service,</w:t>
      </w:r>
    </w:p>
    <w:p w14:paraId="1F2ACD91"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qu’une bonne ventilation assure une qualité de l’air optimale,</w:t>
      </w:r>
    </w:p>
    <w:p w14:paraId="1F2ACD92"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que le locataire actuel quittera prochainement le bien et que les installations techniques seront peut-être modifiées à ce moment-là ;</w:t>
      </w:r>
    </w:p>
    <w:p w14:paraId="1F2ACD93"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Vu le rapport d’incidences ;</w:t>
      </w:r>
    </w:p>
    <w:p w14:paraId="1F2ACD94"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que celui-ci n’a pas mis en évidence d’incidences négatives notables ;</w:t>
      </w:r>
    </w:p>
    <w:p w14:paraId="1F2ACD95"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que le parking comprend actuellement 74 emplacements ;</w:t>
      </w:r>
    </w:p>
    <w:p w14:paraId="1F2ACD96"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 xml:space="preserve">Considérant que le </w:t>
      </w:r>
      <w:proofErr w:type="spellStart"/>
      <w:r w:rsidRPr="006D2E38">
        <w:rPr>
          <w:rFonts w:ascii="Arial" w:hAnsi="Arial" w:cs="Arial"/>
          <w:sz w:val="20"/>
          <w:szCs w:val="20"/>
          <w:lang w:val="fr-BE"/>
        </w:rPr>
        <w:t>Cobrace</w:t>
      </w:r>
      <w:proofErr w:type="spellEnd"/>
      <w:r w:rsidRPr="006D2E38">
        <w:rPr>
          <w:rFonts w:ascii="Arial" w:hAnsi="Arial" w:cs="Arial"/>
          <w:sz w:val="20"/>
          <w:szCs w:val="20"/>
          <w:lang w:val="fr-BE"/>
        </w:rPr>
        <w:t xml:space="preserve"> en autorise 39 plus 2 emplacements pour les techniciens ;</w:t>
      </w:r>
    </w:p>
    <w:p w14:paraId="1F2ACD97"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 xml:space="preserve">Considérant dès lors qu’en terme </w:t>
      </w:r>
      <w:proofErr w:type="spellStart"/>
      <w:r w:rsidRPr="006D2E38">
        <w:rPr>
          <w:rFonts w:ascii="Arial" w:hAnsi="Arial" w:cs="Arial"/>
          <w:sz w:val="20"/>
          <w:szCs w:val="20"/>
          <w:lang w:val="fr-BE"/>
        </w:rPr>
        <w:t>Cobrace</w:t>
      </w:r>
      <w:proofErr w:type="spellEnd"/>
      <w:r w:rsidRPr="006D2E38">
        <w:rPr>
          <w:rFonts w:ascii="Arial" w:hAnsi="Arial" w:cs="Arial"/>
          <w:sz w:val="20"/>
          <w:szCs w:val="20"/>
          <w:lang w:val="fr-BE"/>
        </w:rPr>
        <w:t>, il reste 33 emplacements excédentaires ;</w:t>
      </w:r>
    </w:p>
    <w:p w14:paraId="1F2ACD98"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qu’actuellement, il y a un peu moins de 300 employés sur le site ;</w:t>
      </w:r>
    </w:p>
    <w:p w14:paraId="1F2ACD99"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Considérant qu’actuellement le nombre de places de stationnement ne suffit pas et que l’occupant loue des emplacements supplémentaires ;</w:t>
      </w:r>
    </w:p>
    <w:p w14:paraId="1F2ACD9A"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 xml:space="preserve">Considérant dès lors que l’occupant souhaite maintenir ses places </w:t>
      </w:r>
      <w:proofErr w:type="spellStart"/>
      <w:r w:rsidRPr="006D2E38">
        <w:rPr>
          <w:rFonts w:ascii="Arial" w:hAnsi="Arial" w:cs="Arial"/>
          <w:sz w:val="20"/>
          <w:szCs w:val="20"/>
          <w:lang w:val="fr-BE"/>
        </w:rPr>
        <w:t>Cobrace</w:t>
      </w:r>
      <w:proofErr w:type="spellEnd"/>
      <w:r w:rsidRPr="006D2E38">
        <w:rPr>
          <w:rFonts w:ascii="Arial" w:hAnsi="Arial" w:cs="Arial"/>
          <w:sz w:val="20"/>
          <w:szCs w:val="20"/>
          <w:lang w:val="fr-BE"/>
        </w:rPr>
        <w:t xml:space="preserve"> excédentaires et s’engage à payer la taxe y relative ;</w:t>
      </w:r>
    </w:p>
    <w:p w14:paraId="1F2ACD9B" w14:textId="77777777" w:rsidR="00125A8A" w:rsidRPr="006D2E38" w:rsidRDefault="006D2E38" w:rsidP="006D2E38">
      <w:pPr>
        <w:spacing w:after="0" w:line="240" w:lineRule="auto"/>
        <w:rPr>
          <w:rFonts w:ascii="Arial" w:hAnsi="Arial" w:cs="Arial"/>
          <w:sz w:val="20"/>
          <w:szCs w:val="20"/>
          <w:lang w:val="fr-BE"/>
        </w:rPr>
      </w:pPr>
      <w:r w:rsidRPr="006D2E38">
        <w:rPr>
          <w:rFonts w:ascii="Arial" w:hAnsi="Arial" w:cs="Arial"/>
          <w:sz w:val="20"/>
          <w:szCs w:val="20"/>
          <w:lang w:val="fr-BE"/>
        </w:rPr>
        <w:t xml:space="preserve">Considérant que la situation pourra être réévalué lors du changement d’occupant ;  </w:t>
      </w:r>
    </w:p>
    <w:p w14:paraId="1F2ACD9C" w14:textId="77777777" w:rsidR="00110EB8" w:rsidRPr="006D2E38" w:rsidRDefault="00110EB8" w:rsidP="006D2E38">
      <w:pPr>
        <w:suppressAutoHyphens/>
        <w:spacing w:after="0" w:line="240" w:lineRule="auto"/>
        <w:rPr>
          <w:rFonts w:ascii="Arial" w:hAnsi="Arial" w:cs="Arial"/>
          <w:sz w:val="20"/>
          <w:szCs w:val="20"/>
          <w:lang w:val="fr-BE"/>
        </w:rPr>
      </w:pPr>
    </w:p>
    <w:p w14:paraId="1F2ACD9D" w14:textId="77777777" w:rsidR="00110EB8" w:rsidRPr="006D2E38" w:rsidRDefault="00110EB8" w:rsidP="006D2E38">
      <w:pPr>
        <w:suppressAutoHyphens/>
        <w:spacing w:after="0" w:line="240" w:lineRule="auto"/>
        <w:outlineLvl w:val="0"/>
        <w:rPr>
          <w:rFonts w:ascii="Arial" w:hAnsi="Arial" w:cs="Arial"/>
          <w:b/>
          <w:sz w:val="20"/>
          <w:szCs w:val="20"/>
          <w:lang w:val="fr-BE"/>
        </w:rPr>
      </w:pPr>
      <w:r w:rsidRPr="006D2E38">
        <w:rPr>
          <w:rFonts w:ascii="Arial" w:hAnsi="Arial" w:cs="Arial"/>
          <w:b/>
          <w:sz w:val="20"/>
          <w:szCs w:val="20"/>
          <w:lang w:val="fr-BE"/>
        </w:rPr>
        <w:t xml:space="preserve">AVIS </w:t>
      </w:r>
      <w:r w:rsidR="000210C9" w:rsidRPr="006D2E38">
        <w:rPr>
          <w:rFonts w:ascii="Arial" w:hAnsi="Arial" w:cs="Arial"/>
          <w:b/>
          <w:noProof/>
          <w:sz w:val="20"/>
          <w:szCs w:val="20"/>
          <w:lang w:val="fr-BE"/>
        </w:rPr>
        <w:t>Favorable sous conditions (unanime)</w:t>
      </w:r>
    </w:p>
    <w:p w14:paraId="1F2ACD9E" w14:textId="77777777" w:rsidR="00110EB8" w:rsidRPr="006D2E38" w:rsidRDefault="00110EB8" w:rsidP="006D2E38">
      <w:pPr>
        <w:suppressAutoHyphens/>
        <w:spacing w:after="0" w:line="240" w:lineRule="auto"/>
        <w:jc w:val="both"/>
        <w:rPr>
          <w:rFonts w:ascii="Arial" w:hAnsi="Arial" w:cs="Arial"/>
          <w:sz w:val="20"/>
          <w:szCs w:val="20"/>
          <w:lang w:val="fr-BE"/>
        </w:rPr>
      </w:pPr>
    </w:p>
    <w:p w14:paraId="367BEEF3" w14:textId="77777777" w:rsidR="006D2E38" w:rsidRDefault="000210C9" w:rsidP="006D2E38">
      <w:pPr>
        <w:numPr>
          <w:ilvl w:val="0"/>
          <w:numId w:val="2"/>
        </w:numPr>
        <w:suppressAutoHyphens/>
        <w:spacing w:after="0" w:line="240" w:lineRule="auto"/>
        <w:ind w:left="426"/>
        <w:rPr>
          <w:rFonts w:ascii="Arial" w:hAnsi="Arial" w:cs="Arial"/>
          <w:sz w:val="20"/>
          <w:szCs w:val="20"/>
          <w:lang w:val="fr-BE"/>
        </w:rPr>
      </w:pPr>
      <w:r w:rsidRPr="006D2E38">
        <w:rPr>
          <w:rFonts w:ascii="Arial" w:hAnsi="Arial" w:cs="Arial"/>
          <w:noProof/>
          <w:sz w:val="20"/>
          <w:szCs w:val="20"/>
          <w:lang w:val="fr-BE"/>
        </w:rPr>
        <w:t xml:space="preserve"> Mettre en place/remettre en conformité un système de ventilation mécanique dans le parking  couvert permettant une bonne ventilation et qualité de l’air, et fournir une preuve que </w:t>
      </w:r>
      <w:r w:rsidR="006D2E38">
        <w:rPr>
          <w:rFonts w:ascii="Arial" w:hAnsi="Arial" w:cs="Arial"/>
          <w:noProof/>
          <w:sz w:val="20"/>
          <w:szCs w:val="20"/>
          <w:lang w:val="fr-BE"/>
        </w:rPr>
        <w:t>ces travaux ont été réalisés,</w:t>
      </w:r>
    </w:p>
    <w:p w14:paraId="1F2ACD9F" w14:textId="1C4C4EE9" w:rsidR="00110EB8" w:rsidRPr="006D2E38" w:rsidRDefault="000210C9" w:rsidP="006D2E38">
      <w:pPr>
        <w:numPr>
          <w:ilvl w:val="0"/>
          <w:numId w:val="2"/>
        </w:numPr>
        <w:suppressAutoHyphens/>
        <w:spacing w:after="0" w:line="240" w:lineRule="auto"/>
        <w:ind w:left="426"/>
        <w:rPr>
          <w:rFonts w:ascii="Arial" w:hAnsi="Arial" w:cs="Arial"/>
          <w:sz w:val="20"/>
          <w:szCs w:val="20"/>
          <w:lang w:val="fr-BE"/>
        </w:rPr>
      </w:pPr>
      <w:r w:rsidRPr="006D2E38">
        <w:rPr>
          <w:rFonts w:ascii="Arial" w:hAnsi="Arial" w:cs="Arial"/>
          <w:noProof/>
          <w:sz w:val="20"/>
          <w:szCs w:val="20"/>
          <w:lang w:val="fr-BE"/>
        </w:rPr>
        <w:t>Respecter les normes de bruit en vigueur en zones d’habitation et administrative,</w:t>
      </w:r>
    </w:p>
    <w:p w14:paraId="1F2ACDA2" w14:textId="7E45CF5E" w:rsidR="00110EB8" w:rsidRPr="006D2E38" w:rsidRDefault="00110EB8" w:rsidP="006D2E38">
      <w:pPr>
        <w:suppressAutoHyphens/>
        <w:spacing w:after="0" w:line="240" w:lineRule="auto"/>
        <w:jc w:val="both"/>
        <w:rPr>
          <w:rFonts w:ascii="Arial" w:hAnsi="Arial" w:cs="Arial"/>
          <w:sz w:val="20"/>
          <w:szCs w:val="20"/>
          <w:lang w:val="fr-BE"/>
        </w:rPr>
      </w:pPr>
    </w:p>
    <w:sectPr w:rsidR="00110EB8" w:rsidRPr="006D2E38"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ACDA5" w14:textId="77777777" w:rsidR="00FC51AD" w:rsidRDefault="00FC51AD" w:rsidP="00CD4528">
      <w:pPr>
        <w:spacing w:after="0" w:line="240" w:lineRule="auto"/>
      </w:pPr>
      <w:r>
        <w:separator/>
      </w:r>
    </w:p>
  </w:endnote>
  <w:endnote w:type="continuationSeparator" w:id="0">
    <w:p w14:paraId="1F2ACDA6"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DA9"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DAA"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DAC"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ACDA3" w14:textId="77777777" w:rsidR="00FC51AD" w:rsidRDefault="00FC51AD" w:rsidP="00CD4528">
      <w:pPr>
        <w:spacing w:after="0" w:line="240" w:lineRule="auto"/>
      </w:pPr>
      <w:r>
        <w:separator/>
      </w:r>
    </w:p>
  </w:footnote>
  <w:footnote w:type="continuationSeparator" w:id="0">
    <w:p w14:paraId="1F2ACDA4"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DA7"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DA8"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DAB"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35BE9"/>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25A8A"/>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2E38"/>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CD81"/>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2022-09-30T07:54:00Z</cp:lastPrinted>
  <dcterms:created xsi:type="dcterms:W3CDTF">2022-09-30T09:30:00Z</dcterms:created>
  <dcterms:modified xsi:type="dcterms:W3CDTF">2022-09-30T09:30:00Z</dcterms:modified>
</cp:coreProperties>
</file>