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869AC" w14:textId="67AE47FD" w:rsidR="00110EB8" w:rsidRPr="00A120AD" w:rsidRDefault="005E5A8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URB/20649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l'agrandissement d'une annexe sur 3 étages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Verte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53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Ilkay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Saglam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Gillon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19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5B6869AD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5B6869AF" w14:textId="240CAF32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5B6869B0" w14:textId="77777777" w:rsidR="00110EB8" w:rsidRPr="00A120AD" w:rsidRDefault="00110EB8" w:rsidP="005E5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5B6869B2" w14:textId="15A9D56D" w:rsidR="00110EB8" w:rsidRPr="00A120AD" w:rsidRDefault="00110EB8" w:rsidP="005E5A8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B6869B3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 xml:space="preserve">Vu la demande de Monsieur </w:t>
      </w:r>
      <w:proofErr w:type="spellStart"/>
      <w:r w:rsidRPr="005E5A88">
        <w:rPr>
          <w:lang w:val="fr-BE"/>
        </w:rPr>
        <w:t>Ilkay</w:t>
      </w:r>
      <w:proofErr w:type="spellEnd"/>
      <w:r w:rsidRPr="005E5A88">
        <w:rPr>
          <w:lang w:val="fr-BE"/>
        </w:rPr>
        <w:t xml:space="preserve"> </w:t>
      </w:r>
      <w:proofErr w:type="spellStart"/>
      <w:r w:rsidRPr="005E5A88">
        <w:rPr>
          <w:lang w:val="fr-BE"/>
        </w:rPr>
        <w:t>Saglam</w:t>
      </w:r>
      <w:proofErr w:type="spellEnd"/>
      <w:r w:rsidRPr="005E5A88">
        <w:rPr>
          <w:lang w:val="fr-BE"/>
        </w:rPr>
        <w:t xml:space="preserve">  ,  rue </w:t>
      </w:r>
      <w:proofErr w:type="spellStart"/>
      <w:r w:rsidRPr="005E5A88">
        <w:rPr>
          <w:lang w:val="fr-BE"/>
        </w:rPr>
        <w:t>Gillon</w:t>
      </w:r>
      <w:proofErr w:type="spellEnd"/>
      <w:r w:rsidRPr="005E5A88">
        <w:rPr>
          <w:lang w:val="fr-BE"/>
        </w:rPr>
        <w:t xml:space="preserve"> 19  à 1210 Bruxelles visant à mettre en conformité l'agrandissement d'une annexe sur 3 étages, situé   Rue Verte 53   ;</w:t>
      </w:r>
    </w:p>
    <w:p w14:paraId="5B6869B4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5B6869B5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que la demande déroge au(x) :</w:t>
      </w:r>
    </w:p>
    <w:p w14:paraId="5B6869B6" w14:textId="77777777" w:rsidR="006E7F9B" w:rsidRPr="005E5A88" w:rsidRDefault="00C025F5" w:rsidP="005E5A88">
      <w:pPr>
        <w:numPr>
          <w:ilvl w:val="0"/>
          <w:numId w:val="3"/>
        </w:numPr>
        <w:spacing w:after="0"/>
        <w:ind w:left="0"/>
        <w:rPr>
          <w:lang w:val="fr-BE"/>
        </w:rPr>
      </w:pPr>
      <w:r w:rsidRPr="005E5A88">
        <w:rPr>
          <w:lang w:val="fr-BE"/>
        </w:rPr>
        <w:t xml:space="preserve"> art.4 du titre I du RRU (profondeur de la construction) </w:t>
      </w:r>
    </w:p>
    <w:p w14:paraId="5B6869B7" w14:textId="77777777" w:rsidR="006E7F9B" w:rsidRPr="005E5A88" w:rsidRDefault="00C025F5" w:rsidP="005E5A88">
      <w:pPr>
        <w:numPr>
          <w:ilvl w:val="0"/>
          <w:numId w:val="3"/>
        </w:numPr>
        <w:spacing w:after="0"/>
        <w:ind w:left="0"/>
        <w:rPr>
          <w:lang w:val="fr-BE"/>
        </w:rPr>
      </w:pPr>
      <w:r w:rsidRPr="005E5A88">
        <w:rPr>
          <w:lang w:val="fr-BE"/>
        </w:rPr>
        <w:t>art.6 du titre I du RRU (toiture d'une construction mitoyenne)</w:t>
      </w:r>
    </w:p>
    <w:p w14:paraId="5B6869B8" w14:textId="77777777" w:rsidR="006E7F9B" w:rsidRPr="005E5A88" w:rsidRDefault="00C025F5" w:rsidP="005E5A88">
      <w:pPr>
        <w:numPr>
          <w:ilvl w:val="0"/>
          <w:numId w:val="3"/>
        </w:numPr>
        <w:spacing w:after="0"/>
        <w:ind w:left="0"/>
        <w:rPr>
          <w:lang w:val="fr-BE"/>
        </w:rPr>
      </w:pPr>
      <w:r w:rsidRPr="005E5A88">
        <w:rPr>
          <w:lang w:val="fr-BE"/>
        </w:rPr>
        <w:t xml:space="preserve">art. 10 du titre II du RRU (éclairement naturel) </w:t>
      </w:r>
    </w:p>
    <w:p w14:paraId="5B6869B9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que la demande a été soumise aux mesures particulières de publicité ; que l’enquête publique s’est déroulée du 04/10/2021 au 18/10/2021 et qu’aucune observation et/ou demande à être entendu n’a été introduite;</w:t>
      </w:r>
    </w:p>
    <w:p w14:paraId="5B6869BA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Vu le permis d’urbanisme URB/18900 délivré en 2005 pour la construction d’une annexe sur 3 niveaux ;</w:t>
      </w:r>
    </w:p>
    <w:p w14:paraId="5B6869BB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que ce précédent permis autorisait une annexe d’une profondeur de 2,28 m mais que pour des raisins techniques de stabilité, l’annexe a été construite sur 3,75 m de profondeur ;</w:t>
      </w:r>
    </w:p>
    <w:p w14:paraId="5B6869BC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de ce fait que l’annexe dépasse de 25 cm le voisin le plus profond et de 3,76 m le moins profond ;</w:t>
      </w:r>
    </w:p>
    <w:p w14:paraId="5B6869BD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cependant que l’annexe est en retrait de 3,25 m par rapport à celui-ci et n’aura pas d’impact important ;</w:t>
      </w:r>
    </w:p>
    <w:p w14:paraId="5B6869BE" w14:textId="7777777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que cette annexe plus spacieuse a permis la création d’appartements 2 chambres plutôt qu’une chambre ;</w:t>
      </w:r>
    </w:p>
    <w:p w14:paraId="5B6869BF" w14:textId="11886F37" w:rsidR="006E7F9B" w:rsidRPr="005E5A88" w:rsidRDefault="00C025F5" w:rsidP="005E5A88">
      <w:pPr>
        <w:spacing w:after="0"/>
        <w:rPr>
          <w:lang w:val="fr-BE"/>
        </w:rPr>
      </w:pPr>
      <w:r w:rsidRPr="005E5A88">
        <w:rPr>
          <w:lang w:val="fr-BE"/>
        </w:rPr>
        <w:t>Considérant cependant que pour un app</w:t>
      </w:r>
      <w:r>
        <w:rPr>
          <w:lang w:val="fr-BE"/>
        </w:rPr>
        <w:t>a</w:t>
      </w:r>
      <w:r w:rsidRPr="005E5A88">
        <w:rPr>
          <w:lang w:val="fr-BE"/>
        </w:rPr>
        <w:t>rtement 2 chambres, les espaces communs et les salles de bain ne sont pas suffisamment généreux;</w:t>
      </w:r>
    </w:p>
    <w:p w14:paraId="5B6869C0" w14:textId="77777777" w:rsidR="00110EB8" w:rsidRPr="00A120AD" w:rsidRDefault="00110EB8" w:rsidP="005E5A8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B6869C1" w14:textId="77777777" w:rsidR="00110EB8" w:rsidRPr="00A120AD" w:rsidRDefault="00110EB8" w:rsidP="005E5A8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5B6869C2" w14:textId="77777777" w:rsidR="00110EB8" w:rsidRPr="00A120AD" w:rsidRDefault="00110EB8" w:rsidP="005E5A8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B6869C3" w14:textId="77777777" w:rsidR="00110EB8" w:rsidRPr="00A120AD" w:rsidRDefault="000210C9" w:rsidP="005E5A88">
      <w:pPr>
        <w:numPr>
          <w:ilvl w:val="0"/>
          <w:numId w:val="2"/>
        </w:numPr>
        <w:suppressAutoHyphens/>
        <w:spacing w:after="0" w:line="240" w:lineRule="auto"/>
        <w:ind w:left="0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Revoir l'aménagement des logements</w:t>
      </w:r>
      <w:r>
        <w:rPr>
          <w:rFonts w:ascii="Arial" w:hAnsi="Arial" w:cs="Arial"/>
          <w:noProof/>
          <w:lang w:val="fr-BE"/>
        </w:rPr>
        <w:br/>
      </w:r>
      <w:r>
        <w:rPr>
          <w:rFonts w:ascii="Arial" w:hAnsi="Arial" w:cs="Arial"/>
          <w:noProof/>
          <w:lang w:val="fr-BE"/>
        </w:rPr>
        <w:br/>
        <w:t>La commission de concertation accorde les dérogations au titre I du RRU</w:t>
      </w:r>
    </w:p>
    <w:p w14:paraId="5B6869C4" w14:textId="77777777" w:rsidR="00110EB8" w:rsidRPr="00A120AD" w:rsidRDefault="00110EB8" w:rsidP="005E5A8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B6869C6" w14:textId="509AA229" w:rsidR="00110EB8" w:rsidRPr="00A120AD" w:rsidRDefault="00110EB8" w:rsidP="005E5A8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869C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5B6869C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C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C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D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869C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5B6869C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C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C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C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CB56BD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430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5A88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E7F9B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25F5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69AC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2021-10-26T10:19:00Z</cp:lastPrinted>
  <dcterms:created xsi:type="dcterms:W3CDTF">2021-10-26T10:38:00Z</dcterms:created>
  <dcterms:modified xsi:type="dcterms:W3CDTF">2021-10-26T10:38:00Z</dcterms:modified>
</cp:coreProperties>
</file>